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Pr="008906D3" w:rsidRDefault="00240A1D" w:rsidP="008906D3">
      <w:pPr>
        <w:spacing w:after="0" w:line="240" w:lineRule="auto"/>
        <w:rPr>
          <w:rFonts w:ascii="Tahoma" w:hAnsi="Tahoma" w:cs="Tahoma"/>
          <w:b/>
          <w:bCs/>
          <w:color w:val="000000"/>
          <w:sz w:val="20"/>
          <w:szCs w:val="16"/>
          <w:shd w:val="clear" w:color="auto" w:fill="FFFFFF"/>
        </w:rPr>
      </w:pPr>
      <w:r w:rsidRPr="008906D3">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12340B7A" wp14:editId="71A908E1">
                <wp:simplePos x="0" y="0"/>
                <wp:positionH relativeFrom="margin">
                  <wp:posOffset>-310779</wp:posOffset>
                </wp:positionH>
                <wp:positionV relativeFrom="topMargin">
                  <wp:posOffset>933450</wp:posOffset>
                </wp:positionV>
                <wp:extent cx="6642100" cy="739140"/>
                <wp:effectExtent l="95250" t="38100" r="101600" b="156210"/>
                <wp:wrapNone/>
                <wp:docPr id="1" name="Rectangle 1"/>
                <wp:cNvGraphicFramePr/>
                <a:graphic xmlns:a="http://schemas.openxmlformats.org/drawingml/2006/main">
                  <a:graphicData uri="http://schemas.microsoft.com/office/word/2010/wordprocessingShape">
                    <wps:wsp>
                      <wps:cNvSpPr/>
                      <wps:spPr>
                        <a:xfrm>
                          <a:off x="0" y="0"/>
                          <a:ext cx="6642100" cy="739140"/>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7915B4" w:rsidRDefault="007915B4" w:rsidP="00FA7C89"/>
                          <w:p w:rsidR="007915B4" w:rsidRDefault="007915B4" w:rsidP="00FA7C89"/>
                          <w:tbl>
                            <w:tblPr>
                              <w:tblW w:w="5000" w:type="pct"/>
                              <w:jc w:val="center"/>
                              <w:tblLook w:val="04A0" w:firstRow="1" w:lastRow="0" w:firstColumn="1" w:lastColumn="0" w:noHBand="0" w:noVBand="1"/>
                            </w:tblPr>
                            <w:tblGrid>
                              <w:gridCol w:w="3454"/>
                              <w:gridCol w:w="3454"/>
                              <w:gridCol w:w="3455"/>
                            </w:tblGrid>
                            <w:tr w:rsidR="007915B4" w:rsidTr="003D737D">
                              <w:trPr>
                                <w:jc w:val="center"/>
                              </w:trPr>
                              <w:tc>
                                <w:tcPr>
                                  <w:tcW w:w="3506" w:type="dxa"/>
                                </w:tcPr>
                                <w:p w:rsidR="007915B4" w:rsidRDefault="007915B4">
                                  <w:pPr>
                                    <w:spacing w:after="160" w:line="264" w:lineRule="auto"/>
                                    <w:jc w:val="center"/>
                                  </w:pPr>
                                </w:p>
                              </w:tc>
                              <w:tc>
                                <w:tcPr>
                                  <w:tcW w:w="3506" w:type="dxa"/>
                                </w:tcPr>
                                <w:p w:rsidR="007915B4" w:rsidRDefault="007915B4">
                                  <w:pPr>
                                    <w:spacing w:after="160" w:line="264" w:lineRule="auto"/>
                                    <w:jc w:val="center"/>
                                  </w:pPr>
                                </w:p>
                              </w:tc>
                              <w:tc>
                                <w:tcPr>
                                  <w:tcW w:w="3507" w:type="dxa"/>
                                </w:tcPr>
                                <w:p w:rsidR="007915B4" w:rsidRDefault="007915B4">
                                  <w:pPr>
                                    <w:jc w:val="center"/>
                                  </w:pPr>
                                </w:p>
                              </w:tc>
                            </w:tr>
                          </w:tbl>
                          <w:p w:rsidR="007915B4" w:rsidRDefault="007915B4" w:rsidP="00FA7C8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6" style="position:absolute;margin-left:-24.45pt;margin-top:73.5pt;width:523pt;height:58.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" fillcolor="#2d69b5 [2578]" stroked="f" strokeweight="2pt">
                <v:fill color2="#091525 [962]" rotate="t" focusposition=".5,.5" focussize="" focus="100%" type="gradientRadial"/>
                <v:shadow on="t" color="black" opacity=".25" origin=",-.5" offset="0,4pt"/>
                <v:textbox inset=",14.4pt">
                  <w:txbxContent>
                    <w:p w:rsidR="007915B4" w:rsidRDefault="007915B4" w:rsidP="00FA7C89"/>
                    <w:p w:rsidR="007915B4" w:rsidRDefault="007915B4" w:rsidP="00FA7C89"/>
                    <w:tbl>
                      <w:tblPr>
                        <w:tblW w:w="5000" w:type="pct"/>
                        <w:jc w:val="center"/>
                        <w:tblLook w:val="04A0" w:firstRow="1" w:lastRow="0" w:firstColumn="1" w:lastColumn="0" w:noHBand="0" w:noVBand="1"/>
                      </w:tblPr>
                      <w:tblGrid>
                        <w:gridCol w:w="3454"/>
                        <w:gridCol w:w="3454"/>
                        <w:gridCol w:w="3455"/>
                      </w:tblGrid>
                      <w:tr w:rsidR="007915B4" w:rsidTr="003D737D">
                        <w:trPr>
                          <w:jc w:val="center"/>
                        </w:trPr>
                        <w:tc>
                          <w:tcPr>
                            <w:tcW w:w="3506" w:type="dxa"/>
                          </w:tcPr>
                          <w:p w:rsidR="007915B4" w:rsidRDefault="007915B4">
                            <w:pPr>
                              <w:spacing w:after="160" w:line="264" w:lineRule="auto"/>
                              <w:jc w:val="center"/>
                            </w:pPr>
                          </w:p>
                        </w:tc>
                        <w:tc>
                          <w:tcPr>
                            <w:tcW w:w="3506" w:type="dxa"/>
                          </w:tcPr>
                          <w:p w:rsidR="007915B4" w:rsidRDefault="007915B4">
                            <w:pPr>
                              <w:spacing w:after="160" w:line="264" w:lineRule="auto"/>
                              <w:jc w:val="center"/>
                            </w:pPr>
                          </w:p>
                        </w:tc>
                        <w:tc>
                          <w:tcPr>
                            <w:tcW w:w="3507" w:type="dxa"/>
                          </w:tcPr>
                          <w:p w:rsidR="007915B4" w:rsidRDefault="007915B4">
                            <w:pPr>
                              <w:jc w:val="center"/>
                            </w:pPr>
                          </w:p>
                        </w:tc>
                      </w:tr>
                    </w:tbl>
                    <w:p w:rsidR="007915B4" w:rsidRDefault="007915B4" w:rsidP="00FA7C89">
                      <w:pPr>
                        <w:jc w:val="center"/>
                      </w:pPr>
                    </w:p>
                  </w:txbxContent>
                </v:textbox>
                <w10:wrap anchorx="margin" anchory="margin"/>
              </v:rect>
            </w:pict>
          </mc:Fallback>
        </mc:AlternateContent>
      </w:r>
      <w:r w:rsidR="00A76978" w:rsidRPr="008906D3">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09C46BBD" wp14:editId="4F65DF4A">
                <wp:simplePos x="0" y="0"/>
                <wp:positionH relativeFrom="column">
                  <wp:posOffset>3210296</wp:posOffset>
                </wp:positionH>
                <wp:positionV relativeFrom="paragraph">
                  <wp:posOffset>26670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915B4" w:rsidRPr="002671A9" w:rsidRDefault="007915B4"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7915B4" w:rsidRPr="00491E34" w:rsidRDefault="007915B4"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9B4BAA">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9</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Febrero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7" type="#_x0000_t202" style="position:absolute;margin-left:252.8pt;margin-top:2.1pt;width:229.1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ueOvAIAAMc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" filled="f" stroked="f">
                <v:textbox>
                  <w:txbxContent>
                    <w:p w:rsidR="007915B4" w:rsidRPr="002671A9" w:rsidRDefault="007915B4"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7915B4" w:rsidRPr="00491E34" w:rsidRDefault="007915B4"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Flash Informativo </w:t>
                      </w:r>
                      <w:r w:rsidR="009B4BAA">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9</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Febrero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00A76978" w:rsidRPr="008906D3">
        <w:rPr>
          <w:rFonts w:ascii="Tahoma" w:hAnsi="Tahoma" w:cs="Tahoma"/>
          <w:b/>
          <w:bCs/>
          <w:noProof/>
          <w:color w:val="000000"/>
          <w:sz w:val="20"/>
          <w:szCs w:val="16"/>
          <w:shd w:val="clear" w:color="auto" w:fill="FFFFFF"/>
          <w:lang w:val="es-EC" w:eastAsia="es-EC"/>
        </w:rPr>
        <w:drawing>
          <wp:anchor distT="0" distB="0" distL="114300" distR="114300" simplePos="0" relativeHeight="251661312" behindDoc="1" locked="0" layoutInCell="1" allowOverlap="1" wp14:anchorId="61E553E4" wp14:editId="35D02F0A">
            <wp:simplePos x="0" y="0"/>
            <wp:positionH relativeFrom="column">
              <wp:posOffset>4438015</wp:posOffset>
            </wp:positionH>
            <wp:positionV relativeFrom="paragraph">
              <wp:posOffset>-549275</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FA7C89" w:rsidRPr="008906D3" w:rsidRDefault="00FA7C89" w:rsidP="008906D3">
      <w:pPr>
        <w:spacing w:after="0" w:line="240" w:lineRule="auto"/>
        <w:rPr>
          <w:rFonts w:ascii="Tahoma" w:hAnsi="Tahoma" w:cs="Tahoma"/>
          <w:b/>
          <w:bCs/>
          <w:color w:val="000000"/>
          <w:sz w:val="20"/>
          <w:szCs w:val="16"/>
          <w:shd w:val="clear" w:color="auto" w:fill="FFFFFF"/>
        </w:rPr>
      </w:pPr>
    </w:p>
    <w:p w:rsidR="00FA7C89" w:rsidRPr="008906D3" w:rsidRDefault="00FA7C89" w:rsidP="008906D3">
      <w:pPr>
        <w:spacing w:after="0" w:line="240" w:lineRule="auto"/>
        <w:rPr>
          <w:rFonts w:ascii="Tahoma" w:hAnsi="Tahoma" w:cs="Tahoma"/>
          <w:b/>
          <w:bCs/>
          <w:color w:val="000000"/>
          <w:sz w:val="20"/>
          <w:szCs w:val="16"/>
          <w:shd w:val="clear" w:color="auto" w:fill="FFFFFF"/>
        </w:rPr>
      </w:pPr>
    </w:p>
    <w:p w:rsidR="00FA7C89" w:rsidRPr="008906D3" w:rsidRDefault="00240A1D" w:rsidP="008906D3">
      <w:pPr>
        <w:spacing w:after="0" w:line="240" w:lineRule="auto"/>
        <w:rPr>
          <w:rFonts w:ascii="Tahoma" w:hAnsi="Tahoma" w:cs="Tahoma"/>
          <w:b/>
          <w:bCs/>
          <w:color w:val="000000"/>
          <w:sz w:val="20"/>
          <w:szCs w:val="16"/>
          <w:shd w:val="clear" w:color="auto" w:fill="FFFFFF"/>
        </w:rPr>
      </w:pPr>
      <w:r w:rsidRPr="008906D3">
        <w:rPr>
          <w:rFonts w:ascii="Tahoma" w:hAnsi="Tahoma" w:cs="Tahoma"/>
          <w:noProof/>
          <w:lang w:val="es-EC" w:eastAsia="es-EC"/>
        </w:rPr>
        <w:drawing>
          <wp:anchor distT="0" distB="0" distL="114300" distR="114300" simplePos="0" relativeHeight="251658239" behindDoc="1" locked="0" layoutInCell="1" allowOverlap="1" wp14:anchorId="01D8583A" wp14:editId="63BD58DF">
            <wp:simplePos x="0" y="0"/>
            <wp:positionH relativeFrom="column">
              <wp:posOffset>-313055</wp:posOffset>
            </wp:positionH>
            <wp:positionV relativeFrom="paragraph">
              <wp:posOffset>256540</wp:posOffset>
            </wp:positionV>
            <wp:extent cx="6642100" cy="1574165"/>
            <wp:effectExtent l="0" t="0" r="6350" b="6985"/>
            <wp:wrapTight wrapText="bothSides">
              <wp:wrapPolygon edited="0">
                <wp:start x="0" y="0"/>
                <wp:lineTo x="0" y="21434"/>
                <wp:lineTo x="21559" y="21434"/>
                <wp:lineTo x="21559" y="0"/>
                <wp:lineTo x="0" y="0"/>
              </wp:wrapPolygon>
            </wp:wrapTight>
            <wp:docPr id="2" name="Picture 2" descr="http://media2.prevencionar.com/media/sites/7/2015/11/maestria_finanz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2.prevencionar.com/media/sites/7/2015/11/maestria_finanzas.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18020" b="13971"/>
                    <a:stretch/>
                  </pic:blipFill>
                  <pic:spPr bwMode="auto">
                    <a:xfrm>
                      <a:off x="0" y="0"/>
                      <a:ext cx="6642100" cy="15741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A7C89" w:rsidRPr="008906D3" w:rsidRDefault="00AD7D8C" w:rsidP="0085564E">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sidRPr="008906D3">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EJECUTIVA</w:t>
      </w:r>
    </w:p>
    <w:p w:rsidR="002F4C81" w:rsidRPr="008906D3" w:rsidRDefault="002F4C81" w:rsidP="002F4C81">
      <w:pPr>
        <w:spacing w:after="0" w:line="240" w:lineRule="auto"/>
        <w:rPr>
          <w:rFonts w:ascii="Tahoma" w:eastAsia="Times New Roman" w:hAnsi="Tahoma" w:cs="Tahoma"/>
          <w:b/>
          <w:bCs/>
          <w:color w:val="0070C0"/>
          <w:sz w:val="24"/>
          <w:szCs w:val="16"/>
          <w:lang w:eastAsia="es-ES"/>
        </w:rPr>
      </w:pPr>
      <w:r w:rsidRPr="008906D3">
        <w:rPr>
          <w:rFonts w:ascii="Tahoma" w:eastAsia="Times New Roman" w:hAnsi="Tahoma" w:cs="Tahoma"/>
          <w:b/>
          <w:bCs/>
          <w:noProof/>
          <w:color w:val="FFFFFF" w:themeColor="background1"/>
          <w:sz w:val="14"/>
          <w:szCs w:val="14"/>
          <w:lang w:val="es-EC" w:eastAsia="es-EC"/>
        </w:rPr>
        <mc:AlternateContent>
          <mc:Choice Requires="wps">
            <w:drawing>
              <wp:anchor distT="0" distB="0" distL="114300" distR="114300" simplePos="0" relativeHeight="251673600" behindDoc="1" locked="0" layoutInCell="1" allowOverlap="1" wp14:anchorId="07DC2D8A" wp14:editId="24CBB5D1">
                <wp:simplePos x="0" y="0"/>
                <wp:positionH relativeFrom="column">
                  <wp:posOffset>-925830</wp:posOffset>
                </wp:positionH>
                <wp:positionV relativeFrom="paragraph">
                  <wp:posOffset>157480</wp:posOffset>
                </wp:positionV>
                <wp:extent cx="7258050" cy="254000"/>
                <wp:effectExtent l="57150" t="19050" r="38100" b="88900"/>
                <wp:wrapNone/>
                <wp:docPr id="16" name="Rounded Rectangle 16"/>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6" o:spid="_x0000_s1026" style="position:absolute;margin-left:-72.9pt;margin-top:12.4pt;width:571.5pt;height:20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2F4C81" w:rsidRPr="00135D5F" w:rsidRDefault="002F4C81" w:rsidP="002F4C81">
      <w:pPr>
        <w:spacing w:after="0" w:line="240" w:lineRule="auto"/>
        <w:rPr>
          <w:rFonts w:ascii="Tahoma" w:eastAsia="Times New Roman" w:hAnsi="Tahoma" w:cs="Tahoma"/>
          <w:b/>
          <w:bCs/>
          <w:color w:val="FFFFFF" w:themeColor="background1"/>
          <w:sz w:val="24"/>
          <w:szCs w:val="16"/>
          <w:lang w:eastAsia="es-ES"/>
        </w:rPr>
      </w:pPr>
      <w:r w:rsidRPr="00135D5F">
        <w:rPr>
          <w:rFonts w:ascii="Tahoma" w:eastAsia="Times New Roman" w:hAnsi="Tahoma" w:cs="Tahoma"/>
          <w:b/>
          <w:bCs/>
          <w:color w:val="FFFFFF" w:themeColor="background1"/>
          <w:sz w:val="24"/>
          <w:szCs w:val="16"/>
          <w:lang w:eastAsia="es-ES"/>
        </w:rPr>
        <w:t>SERVICIO DE RENTAS INTERNAS:</w:t>
      </w:r>
      <w:r w:rsidRPr="00135D5F">
        <w:rPr>
          <w:rFonts w:eastAsia="Times New Roman"/>
          <w:color w:val="FFFFFF" w:themeColor="background1"/>
          <w:sz w:val="24"/>
          <w:szCs w:val="16"/>
          <w:lang w:eastAsia="es-ES"/>
        </w:rPr>
        <w:t> </w:t>
      </w:r>
    </w:p>
    <w:p w:rsidR="002F4C81" w:rsidRDefault="002F4C81" w:rsidP="002F4C81">
      <w:pPr>
        <w:spacing w:after="0" w:line="240" w:lineRule="auto"/>
        <w:jc w:val="center"/>
        <w:rPr>
          <w:rFonts w:ascii="Tahoma" w:eastAsia="Times New Roman" w:hAnsi="Tahoma" w:cs="Tahoma"/>
          <w:b/>
          <w:bCs/>
          <w:color w:val="000000"/>
          <w:sz w:val="16"/>
          <w:szCs w:val="16"/>
          <w:lang w:eastAsia="es-ES"/>
        </w:rPr>
      </w:pPr>
    </w:p>
    <w:p w:rsidR="002F4C81" w:rsidRPr="008906D3" w:rsidRDefault="002F4C81" w:rsidP="002F4C81">
      <w:pPr>
        <w:spacing w:after="0" w:line="240" w:lineRule="auto"/>
        <w:jc w:val="center"/>
        <w:rPr>
          <w:rFonts w:ascii="Tahoma" w:eastAsia="Times New Roman" w:hAnsi="Tahoma" w:cs="Tahoma"/>
          <w:b/>
          <w:bCs/>
          <w:color w:val="000000"/>
          <w:sz w:val="14"/>
          <w:szCs w:val="14"/>
          <w:lang w:eastAsia="es-ES"/>
        </w:rPr>
      </w:pPr>
      <w:bookmarkStart w:id="0" w:name="_GoBack"/>
    </w:p>
    <w:p w:rsidR="002F4C81" w:rsidRPr="00135D5F" w:rsidRDefault="002F4C81" w:rsidP="002F4C81">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35D5F">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Suplemento</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Registro Oficial</w:t>
      </w:r>
      <w:r w:rsidRPr="00135D5F">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No. 700,</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135D5F">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Viernes 26 de Febrero de 2016</w:t>
      </w:r>
    </w:p>
    <w:p w:rsidR="002F4C81" w:rsidRDefault="002F4C81" w:rsidP="002F4C81">
      <w:pPr>
        <w:spacing w:after="0" w:line="240" w:lineRule="auto"/>
        <w:jc w:val="center"/>
        <w:rPr>
          <w:rFonts w:ascii="Tahoma" w:hAnsi="Tahoma" w:cs="Tahoma"/>
          <w:b/>
          <w:bCs/>
          <w:color w:val="000000"/>
          <w:sz w:val="14"/>
          <w:szCs w:val="14"/>
        </w:rPr>
      </w:pPr>
    </w:p>
    <w:p w:rsidR="002F4C81" w:rsidRPr="00135D5F" w:rsidRDefault="002F4C81" w:rsidP="002F4C81">
      <w:pPr>
        <w:pStyle w:val="Prrafodelista"/>
        <w:numPr>
          <w:ilvl w:val="0"/>
          <w:numId w:val="15"/>
        </w:numPr>
        <w:shd w:val="clear" w:color="auto" w:fill="FFFFFF"/>
        <w:spacing w:after="0" w:line="240" w:lineRule="auto"/>
        <w:jc w:val="both"/>
        <w:rPr>
          <w:sz w:val="18"/>
          <w:szCs w:val="18"/>
        </w:rPr>
      </w:pPr>
      <w:r w:rsidRPr="00135D5F">
        <w:rPr>
          <w:rFonts w:ascii="Tahoma" w:hAnsi="Tahoma" w:cs="Tahoma"/>
          <w:b/>
          <w:color w:val="0070C0"/>
          <w:sz w:val="18"/>
          <w:szCs w:val="18"/>
        </w:rPr>
        <w:t xml:space="preserve">Resolución </w:t>
      </w:r>
      <w:hyperlink r:id="rId12" w:history="1">
        <w:r w:rsidRPr="00135D5F">
          <w:rPr>
            <w:rFonts w:ascii="Tahoma" w:hAnsi="Tahoma" w:cs="Tahoma"/>
            <w:b/>
            <w:color w:val="0070C0"/>
            <w:sz w:val="18"/>
            <w:szCs w:val="18"/>
          </w:rPr>
          <w:t>NAC-DGERCGC16-00000110</w:t>
        </w:r>
      </w:hyperlink>
      <w:r w:rsidRPr="00135D5F">
        <w:rPr>
          <w:rFonts w:ascii="Tahoma" w:hAnsi="Tahoma" w:cs="Tahoma"/>
          <w:b/>
          <w:color w:val="0070C0"/>
          <w:sz w:val="18"/>
          <w:szCs w:val="18"/>
        </w:rPr>
        <w:t xml:space="preserve">: </w:t>
      </w:r>
      <w:r w:rsidRPr="00135D5F">
        <w:rPr>
          <w:rFonts w:ascii="Tahoma" w:hAnsi="Tahoma" w:cs="Tahoma"/>
          <w:sz w:val="18"/>
          <w:szCs w:val="18"/>
        </w:rPr>
        <w:t>Amplíese el plazo para la presentación del Anexo de Gastos Personales</w:t>
      </w:r>
      <w:r w:rsidRPr="00135D5F">
        <w:rPr>
          <w:sz w:val="18"/>
          <w:szCs w:val="18"/>
        </w:rPr>
        <w:t> </w:t>
      </w:r>
    </w:p>
    <w:p w:rsidR="002F4C81" w:rsidRPr="00135D5F" w:rsidRDefault="002F4C81" w:rsidP="002F4C81">
      <w:pPr>
        <w:pStyle w:val="Prrafodelista"/>
        <w:shd w:val="clear" w:color="auto" w:fill="FFFFFF"/>
        <w:spacing w:after="0" w:line="240" w:lineRule="auto"/>
        <w:jc w:val="both"/>
        <w:rPr>
          <w:b/>
          <w:color w:val="0070C0"/>
          <w:sz w:val="18"/>
          <w:szCs w:val="18"/>
        </w:rPr>
      </w:pPr>
    </w:p>
    <w:p w:rsidR="002F4C81" w:rsidRDefault="002F4C81" w:rsidP="002F4C81">
      <w:pPr>
        <w:shd w:val="clear" w:color="auto" w:fill="FFFFFF"/>
        <w:spacing w:after="0" w:line="240" w:lineRule="auto"/>
        <w:jc w:val="center"/>
        <w:rPr>
          <w:rFonts w:ascii="Tahoma" w:eastAsia="Times New Roman" w:hAnsi="Tahoma" w:cs="Tahoma"/>
          <w:b/>
          <w:bCs/>
          <w:color w:val="000000"/>
          <w:sz w:val="14"/>
          <w:szCs w:val="14"/>
          <w:lang w:eastAsia="es-ES"/>
        </w:rPr>
        <w:sectPr w:rsidR="002F4C81" w:rsidSect="008906D3">
          <w:headerReference w:type="default" r:id="rId13"/>
          <w:footerReference w:type="default" r:id="rId14"/>
          <w:type w:val="continuous"/>
          <w:pgSz w:w="11906" w:h="16838"/>
          <w:pgMar w:top="1417" w:right="849" w:bottom="993" w:left="1276" w:header="708" w:footer="708" w:gutter="0"/>
          <w:cols w:space="282"/>
          <w:docGrid w:linePitch="360"/>
        </w:sectPr>
      </w:pPr>
    </w:p>
    <w:p w:rsidR="002F4C81" w:rsidRPr="004E5E30" w:rsidRDefault="002F4C81" w:rsidP="002F4C81">
      <w:pPr>
        <w:shd w:val="clear" w:color="auto" w:fill="FFFFFF"/>
        <w:spacing w:after="0" w:line="240" w:lineRule="auto"/>
        <w:jc w:val="center"/>
        <w:rPr>
          <w:rFonts w:ascii="Tahoma" w:eastAsia="Times New Roman" w:hAnsi="Tahoma" w:cs="Tahoma"/>
          <w:color w:val="000000"/>
          <w:sz w:val="14"/>
          <w:szCs w:val="14"/>
          <w:lang w:eastAsia="es-ES"/>
        </w:rPr>
      </w:pPr>
      <w:r w:rsidRPr="004E5E30">
        <w:rPr>
          <w:rFonts w:ascii="Tahoma" w:eastAsia="Times New Roman" w:hAnsi="Tahoma" w:cs="Tahoma"/>
          <w:b/>
          <w:bCs/>
          <w:color w:val="000000"/>
          <w:sz w:val="14"/>
          <w:szCs w:val="14"/>
          <w:lang w:eastAsia="es-ES"/>
        </w:rPr>
        <w:lastRenderedPageBreak/>
        <w:t>Considerando:</w:t>
      </w:r>
      <w:r w:rsidRPr="008906D3">
        <w:rPr>
          <w:rFonts w:ascii="Tahoma" w:eastAsia="Times New Roman" w:hAnsi="Tahoma" w:cs="Tahoma"/>
          <w:b/>
          <w:bCs/>
          <w:color w:val="000000"/>
          <w:sz w:val="14"/>
          <w:szCs w:val="14"/>
          <w:lang w:eastAsia="es-ES"/>
        </w:rPr>
        <w:t> </w:t>
      </w:r>
      <w:r w:rsidRPr="004E5E30">
        <w:rPr>
          <w:rFonts w:ascii="Tahoma" w:eastAsia="Times New Roman" w:hAnsi="Tahoma" w:cs="Tahoma"/>
          <w:b/>
          <w:bCs/>
          <w:color w:val="000000"/>
          <w:sz w:val="14"/>
          <w:szCs w:val="14"/>
          <w:lang w:eastAsia="es-ES"/>
        </w:rPr>
        <w:br/>
      </w:r>
    </w:p>
    <w:p w:rsidR="002F4C81" w:rsidRDefault="002F4C81" w:rsidP="002F4C81">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shd w:val="clear" w:color="auto" w:fill="FFFFFF"/>
          <w:lang w:eastAsia="es-ES"/>
        </w:rPr>
        <w:t>Que el artículo 83 de la Constitución de la República establece que son deberes y responsabilidades de los habitantes del Ecuador acatar y cumplir con la Constitución, la ley y las decisiones legitimas de autoridad competente, cooperar con el Estado y la comunidad en la seguridad social y pagar los tributos establecidos por la ley;</w:t>
      </w:r>
    </w:p>
    <w:p w:rsidR="002F4C81" w:rsidRDefault="002F4C81" w:rsidP="002F4C81">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conforme al artículo 226 de la Constitución de la República del Ecuador,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2F4C81" w:rsidRDefault="002F4C81" w:rsidP="002F4C81">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el artículo 300 de la Constitución de la República del Ecuador señala que el régimen tributario se regirá por los principios de generalidad, progresividad, eficiencia, simplicidad administrativa, irretroactividad, equidad, transparencia y suficiencia recaudatoria;</w:t>
      </w:r>
    </w:p>
    <w:p w:rsidR="002F4C81" w:rsidRDefault="002F4C81" w:rsidP="002F4C81">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el artículo 1 de la Ley de Creación del Servicio de Rentas Internas crea el Servicio de Rentas Internas (SRI) como una entidad técnica y autónoma, con personería jurídica, de derecho público, patrimonio y fondos propios, jurisdicción nacional y sede principal en la ciudad de Quito;</w:t>
      </w:r>
    </w:p>
    <w:p w:rsidR="002F4C81" w:rsidRDefault="002F4C81" w:rsidP="002F4C81">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de acuerdo a lo establecido en el artículo 7 del Código Tributario, en concordancia con el artículo 8 de la Ley de Creación del Servicio de Rentas Internas, es facultad del Director General del Servicio de Rentas Internas expedir las resoluciones, circulares o disposiciones de carácter general y obligatorio necesarias para la aplicación de las normas legales y reglamentarias;</w:t>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mediante resolución NAC-DGECGC09-00391 del 1 de junio de 2009, publicada en el Suplemento del Registro Oficial No. 613 de 16 de junio de 2009, el Servicio de Rentas Internas estableció la forma y condiciones que las personas naturales deben presentar la información relativa a sus gastos personales;</w:t>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según dispone el artículo 30 del Código Civil un caso de fuerza mayor o caso fortuito es aquel imprevisto al que no es posible resistir, como un naufragio, un terremoto, el apresamiento de enemigos, los actos de autoridad ejercidos por un funcionario público;</w:t>
      </w:r>
    </w:p>
    <w:p w:rsidR="002F4C81" w:rsidRDefault="002F4C81" w:rsidP="002F4C81">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Que durante el mes de febrero de 2016, el Servicio de Rentas Internas ha implementado una nueva herramienta tecnológica para la presentación del Anexo de Gastos Personales en línea;</w:t>
      </w:r>
    </w:p>
    <w:p w:rsidR="002F4C81" w:rsidRDefault="002F4C81" w:rsidP="002F4C81">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lastRenderedPageBreak/>
        <w:br/>
      </w:r>
      <w:r w:rsidRPr="004E5E30">
        <w:rPr>
          <w:rFonts w:ascii="Tahoma" w:eastAsia="Times New Roman" w:hAnsi="Tahoma" w:cs="Tahoma"/>
          <w:color w:val="000000"/>
          <w:sz w:val="14"/>
          <w:szCs w:val="14"/>
          <w:shd w:val="clear" w:color="auto" w:fill="FFFFFF"/>
          <w:lang w:eastAsia="es-ES"/>
        </w:rPr>
        <w:t>Que es deber de la Administración Tributaria a través del Director General del Servicio de Rentas Internas expedir las normas necesarias para facilitar a los contribuyentes el cumplimiento de sus obligaciones tributarias y deberes formales, de conformidad con la ley y,</w:t>
      </w:r>
    </w:p>
    <w:p w:rsidR="002F4C81" w:rsidRDefault="002F4C81" w:rsidP="002F4C81">
      <w:pPr>
        <w:spacing w:after="0" w:line="240" w:lineRule="auto"/>
        <w:jc w:val="both"/>
        <w:rPr>
          <w:rFonts w:ascii="Tahoma" w:eastAsia="Times New Roman" w:hAnsi="Tahoma" w:cs="Tahoma"/>
          <w:color w:val="000000"/>
          <w:sz w:val="14"/>
          <w:szCs w:val="14"/>
          <w:shd w:val="clear" w:color="auto" w:fill="FFFFFF"/>
          <w:lang w:eastAsia="es-ES"/>
        </w:rPr>
      </w:pP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shd w:val="clear" w:color="auto" w:fill="FFFFFF"/>
          <w:lang w:eastAsia="es-ES"/>
        </w:rPr>
        <w:t>En ejercicio de sus facultades legales,</w:t>
      </w:r>
    </w:p>
    <w:p w:rsidR="002F4C81" w:rsidRPr="004E5E30" w:rsidRDefault="002F4C81" w:rsidP="002F4C81">
      <w:pPr>
        <w:spacing w:after="0" w:line="240" w:lineRule="auto"/>
        <w:jc w:val="both"/>
        <w:rPr>
          <w:rFonts w:ascii="Tahoma" w:eastAsia="Times New Roman" w:hAnsi="Tahoma" w:cs="Tahoma"/>
          <w:sz w:val="14"/>
          <w:szCs w:val="14"/>
          <w:lang w:eastAsia="es-ES"/>
        </w:rPr>
      </w:pPr>
    </w:p>
    <w:p w:rsidR="002F4C81" w:rsidRPr="004E5E30" w:rsidRDefault="002F4C81" w:rsidP="002F4C81">
      <w:pPr>
        <w:shd w:val="clear" w:color="auto" w:fill="FFFFFF"/>
        <w:spacing w:after="0" w:line="240" w:lineRule="auto"/>
        <w:jc w:val="center"/>
        <w:rPr>
          <w:rFonts w:ascii="Tahoma" w:eastAsia="Times New Roman" w:hAnsi="Tahoma" w:cs="Tahoma"/>
          <w:color w:val="000000"/>
          <w:sz w:val="14"/>
          <w:szCs w:val="14"/>
          <w:lang w:eastAsia="es-ES"/>
        </w:rPr>
      </w:pPr>
      <w:r w:rsidRPr="004E5E30">
        <w:rPr>
          <w:rFonts w:ascii="Tahoma" w:eastAsia="Times New Roman" w:hAnsi="Tahoma" w:cs="Tahoma"/>
          <w:b/>
          <w:bCs/>
          <w:color w:val="000000"/>
          <w:sz w:val="14"/>
          <w:szCs w:val="14"/>
          <w:lang w:eastAsia="es-ES"/>
        </w:rPr>
        <w:t>Resuelve:</w:t>
      </w:r>
      <w:r w:rsidRPr="004E5E30">
        <w:rPr>
          <w:rFonts w:ascii="Tahoma" w:eastAsia="Times New Roman" w:hAnsi="Tahoma" w:cs="Tahoma"/>
          <w:color w:val="000000"/>
          <w:sz w:val="14"/>
          <w:szCs w:val="14"/>
          <w:lang w:eastAsia="es-ES"/>
        </w:rPr>
        <w:br/>
      </w:r>
      <w:r w:rsidRPr="004E5E30">
        <w:rPr>
          <w:rFonts w:ascii="Tahoma" w:eastAsia="Times New Roman" w:hAnsi="Tahoma" w:cs="Tahoma"/>
          <w:color w:val="000000"/>
          <w:sz w:val="14"/>
          <w:szCs w:val="14"/>
          <w:lang w:eastAsia="es-ES"/>
        </w:rPr>
        <w:br/>
      </w:r>
      <w:r w:rsidRPr="004E5E30">
        <w:rPr>
          <w:rFonts w:ascii="Tahoma" w:eastAsia="Times New Roman" w:hAnsi="Tahoma" w:cs="Tahoma"/>
          <w:b/>
          <w:bCs/>
          <w:color w:val="000000"/>
          <w:sz w:val="14"/>
          <w:szCs w:val="14"/>
          <w:lang w:eastAsia="es-ES"/>
        </w:rPr>
        <w:t>Ampliar el plazo para la presentación del Anexo de Gastos Personales</w:t>
      </w:r>
    </w:p>
    <w:p w:rsidR="002F4C81" w:rsidRDefault="002F4C81" w:rsidP="002F4C81">
      <w:pPr>
        <w:shd w:val="clear" w:color="auto" w:fill="FFFFFF"/>
        <w:spacing w:after="0" w:line="240" w:lineRule="auto"/>
        <w:jc w:val="both"/>
        <w:rPr>
          <w:rFonts w:ascii="Tahoma" w:eastAsia="Times New Roman" w:hAnsi="Tahoma" w:cs="Tahoma"/>
          <w:b/>
          <w:bCs/>
          <w:color w:val="000000"/>
          <w:sz w:val="14"/>
          <w:szCs w:val="14"/>
          <w:shd w:val="clear" w:color="auto" w:fill="FFFFFF"/>
          <w:lang w:eastAsia="es-ES"/>
        </w:rPr>
      </w:pPr>
    </w:p>
    <w:p w:rsidR="002F4C81" w:rsidRDefault="002F4C81" w:rsidP="002F4C81">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b/>
          <w:bCs/>
          <w:color w:val="000000"/>
          <w:sz w:val="14"/>
          <w:szCs w:val="14"/>
          <w:shd w:val="clear" w:color="auto" w:fill="FFFFFF"/>
          <w:lang w:eastAsia="es-ES"/>
        </w:rPr>
        <w:t>Artículo 1. Objeto.- </w:t>
      </w:r>
      <w:r w:rsidRPr="008906D3">
        <w:rPr>
          <w:rFonts w:ascii="Tahoma" w:eastAsia="Times New Roman" w:hAnsi="Tahoma" w:cs="Tahoma"/>
          <w:color w:val="000000"/>
          <w:sz w:val="14"/>
          <w:szCs w:val="14"/>
          <w:shd w:val="clear" w:color="auto" w:fill="FFFFFF"/>
          <w:lang w:eastAsia="es-ES"/>
        </w:rPr>
        <w:t>Autorizar por única vez a todos los sujetos pasivos, cuya fecha de vencimiento para la presentación del Anexo de Gastos Personales feneciere durante el mes de febrero del 2016, presentar dicho anexo hasta el día lunes 29 de febrero de 2016, sin que por este concepto se generen o se deban pagar multas de cualquier tipo.</w:t>
      </w:r>
    </w:p>
    <w:p w:rsidR="002F4C81" w:rsidRDefault="002F4C81" w:rsidP="002F4C81">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Artículo 2. Control posterior.- </w:t>
      </w:r>
      <w:r w:rsidRPr="008906D3">
        <w:rPr>
          <w:rFonts w:ascii="Tahoma" w:eastAsia="Times New Roman" w:hAnsi="Tahoma" w:cs="Tahoma"/>
          <w:color w:val="000000"/>
          <w:sz w:val="14"/>
          <w:szCs w:val="14"/>
          <w:shd w:val="clear" w:color="auto" w:fill="FFFFFF"/>
          <w:lang w:eastAsia="es-ES"/>
        </w:rPr>
        <w:t>Todas las unidades del Servicio de Rentas Internas deberán considerar lo dispuesto en la presente Resolución dentro de sus respectivos procesos de control.</w:t>
      </w:r>
    </w:p>
    <w:p w:rsidR="002F4C81" w:rsidRDefault="002F4C81" w:rsidP="002F4C81">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w:t>
      </w:r>
      <w:r w:rsidRPr="008906D3">
        <w:rPr>
          <w:rFonts w:ascii="Tahoma" w:eastAsia="Times New Roman" w:hAnsi="Tahoma" w:cs="Tahoma"/>
          <w:color w:val="000000"/>
          <w:sz w:val="14"/>
          <w:szCs w:val="14"/>
          <w:shd w:val="clear" w:color="auto" w:fill="FFFFFF"/>
          <w:lang w:eastAsia="es-ES"/>
        </w:rPr>
        <w:t>La presente Resolución entrará en vigencia sin perjuicio de su publicación en el Registro Oficial.</w:t>
      </w:r>
    </w:p>
    <w:p w:rsidR="002F4C81" w:rsidRDefault="002F4C81" w:rsidP="002F4C81">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Comuníquese y publíquese.</w:t>
      </w:r>
    </w:p>
    <w:p w:rsidR="002F4C81" w:rsidRPr="008906D3" w:rsidRDefault="002F4C81" w:rsidP="002F4C81">
      <w:pPr>
        <w:shd w:val="clear" w:color="auto" w:fill="FFFFFF"/>
        <w:spacing w:after="0" w:line="240" w:lineRule="auto"/>
        <w:jc w:val="both"/>
        <w:rPr>
          <w:rFonts w:ascii="Tahoma" w:eastAsia="Times New Roman" w:hAnsi="Tahoma" w:cs="Tahoma"/>
          <w:b/>
          <w:bCs/>
          <w:color w:val="000000"/>
          <w:sz w:val="14"/>
          <w:szCs w:val="14"/>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shd w:val="clear" w:color="auto" w:fill="FFFFFF"/>
          <w:lang w:eastAsia="es-ES"/>
        </w:rPr>
        <w:t>Dado en Quito D. M., a 24 de febrero de 2016.</w:t>
      </w:r>
    </w:p>
    <w:bookmarkEnd w:id="0"/>
    <w:p w:rsidR="002F4C81" w:rsidRDefault="00C147D6" w:rsidP="002F4C81">
      <w:pPr>
        <w:shd w:val="clear" w:color="auto" w:fill="FFFFFF"/>
        <w:spacing w:after="0" w:line="240" w:lineRule="auto"/>
        <w:jc w:val="center"/>
        <w:rPr>
          <w:rFonts w:ascii="Tahoma" w:eastAsia="Times New Roman" w:hAnsi="Tahoma" w:cs="Tahoma"/>
          <w:b/>
          <w:bCs/>
          <w:color w:val="000000"/>
          <w:sz w:val="14"/>
          <w:szCs w:val="14"/>
          <w:lang w:eastAsia="es-ES"/>
        </w:rPr>
      </w:pPr>
      <w:r>
        <w:rPr>
          <w:noProof/>
          <w:lang w:val="es-EC" w:eastAsia="es-EC"/>
        </w:rPr>
        <w:drawing>
          <wp:anchor distT="0" distB="0" distL="114300" distR="114300" simplePos="0" relativeHeight="251674624" behindDoc="1" locked="0" layoutInCell="1" allowOverlap="1" wp14:anchorId="2D776718" wp14:editId="58BAD132">
            <wp:simplePos x="0" y="0"/>
            <wp:positionH relativeFrom="column">
              <wp:posOffset>288925</wp:posOffset>
            </wp:positionH>
            <wp:positionV relativeFrom="paragraph">
              <wp:posOffset>40005</wp:posOffset>
            </wp:positionV>
            <wp:extent cx="2362835" cy="1571625"/>
            <wp:effectExtent l="0" t="0" r="0" b="9525"/>
            <wp:wrapTight wrapText="bothSides">
              <wp:wrapPolygon edited="0">
                <wp:start x="0" y="0"/>
                <wp:lineTo x="0" y="21469"/>
                <wp:lineTo x="21420" y="21469"/>
                <wp:lineTo x="21420" y="0"/>
                <wp:lineTo x="0" y="0"/>
              </wp:wrapPolygon>
            </wp:wrapTight>
            <wp:docPr id="228" name="Picture 228" descr="http://www.importancia.org/wp-content/uploads/humanidad-del/Trabajo-en-Equipo-desiciones-empres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importancia.org/wp-content/uploads/humanidad-del/Trabajo-en-Equipo-desiciones-empresa.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283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40A1D" w:rsidRDefault="00240A1D" w:rsidP="002F4C81">
      <w:pPr>
        <w:shd w:val="clear" w:color="auto" w:fill="FFFFFF"/>
        <w:spacing w:after="0" w:line="240" w:lineRule="auto"/>
        <w:jc w:val="center"/>
        <w:rPr>
          <w:rFonts w:ascii="Tahoma" w:eastAsia="Times New Roman" w:hAnsi="Tahoma" w:cs="Tahoma"/>
          <w:b/>
          <w:bCs/>
          <w:color w:val="000000"/>
          <w:sz w:val="14"/>
          <w:szCs w:val="14"/>
          <w:lang w:eastAsia="es-ES"/>
        </w:rPr>
      </w:pPr>
    </w:p>
    <w:p w:rsidR="00C147D6" w:rsidRDefault="00C147D6" w:rsidP="002F4C81">
      <w:pPr>
        <w:shd w:val="clear" w:color="auto" w:fill="FFFFFF"/>
        <w:spacing w:after="0" w:line="240" w:lineRule="auto"/>
        <w:jc w:val="center"/>
        <w:rPr>
          <w:rFonts w:ascii="Tahoma" w:eastAsia="Times New Roman" w:hAnsi="Tahoma" w:cs="Tahoma"/>
          <w:b/>
          <w:bCs/>
          <w:color w:val="000000"/>
          <w:sz w:val="14"/>
          <w:szCs w:val="14"/>
          <w:lang w:eastAsia="es-ES"/>
        </w:rPr>
      </w:pPr>
    </w:p>
    <w:p w:rsidR="00C147D6" w:rsidRDefault="00C147D6" w:rsidP="002F4C81">
      <w:pPr>
        <w:shd w:val="clear" w:color="auto" w:fill="FFFFFF"/>
        <w:spacing w:after="0" w:line="240" w:lineRule="auto"/>
        <w:jc w:val="center"/>
        <w:rPr>
          <w:rFonts w:ascii="Tahoma" w:eastAsia="Times New Roman" w:hAnsi="Tahoma" w:cs="Tahoma"/>
          <w:b/>
          <w:bCs/>
          <w:color w:val="000000"/>
          <w:sz w:val="14"/>
          <w:szCs w:val="14"/>
          <w:lang w:eastAsia="es-ES"/>
        </w:rPr>
      </w:pPr>
    </w:p>
    <w:p w:rsidR="00C147D6" w:rsidRDefault="00C147D6" w:rsidP="002F4C81">
      <w:pPr>
        <w:shd w:val="clear" w:color="auto" w:fill="FFFFFF"/>
        <w:spacing w:after="0" w:line="240" w:lineRule="auto"/>
        <w:jc w:val="center"/>
        <w:rPr>
          <w:rFonts w:ascii="Tahoma" w:eastAsia="Times New Roman" w:hAnsi="Tahoma" w:cs="Tahoma"/>
          <w:b/>
          <w:bCs/>
          <w:color w:val="000000"/>
          <w:sz w:val="14"/>
          <w:szCs w:val="14"/>
          <w:lang w:eastAsia="es-ES"/>
        </w:rPr>
        <w:sectPr w:rsidR="00C147D6" w:rsidSect="00135D5F">
          <w:type w:val="continuous"/>
          <w:pgSz w:w="11906" w:h="16838"/>
          <w:pgMar w:top="1417" w:right="849" w:bottom="993" w:left="1276" w:header="708" w:footer="708" w:gutter="0"/>
          <w:cols w:num="2" w:space="282"/>
          <w:docGrid w:linePitch="360"/>
        </w:sectPr>
      </w:pPr>
    </w:p>
    <w:p w:rsidR="00C147D6" w:rsidRDefault="00C147D6" w:rsidP="00240A1D">
      <w:pPr>
        <w:rPr>
          <w:rFonts w:ascii="Tahoma" w:eastAsia="Times New Roman" w:hAnsi="Tahoma" w:cs="Tahoma"/>
          <w:b/>
          <w:bCs/>
          <w:color w:val="FFFFFF" w:themeColor="background1"/>
          <w:sz w:val="24"/>
          <w:szCs w:val="16"/>
          <w:lang w:eastAsia="es-ES"/>
        </w:rPr>
      </w:pPr>
    </w:p>
    <w:p w:rsidR="00C147D6" w:rsidRPr="00C147D6" w:rsidRDefault="00C147D6" w:rsidP="00240A1D">
      <w:pPr>
        <w:rPr>
          <w:rFonts w:ascii="Tahoma" w:eastAsia="Times New Roman" w:hAnsi="Tahoma" w:cs="Tahoma"/>
          <w:b/>
          <w:bCs/>
          <w:color w:val="FFFFFF" w:themeColor="background1"/>
          <w:sz w:val="8"/>
          <w:szCs w:val="16"/>
          <w:lang w:eastAsia="es-ES"/>
        </w:rPr>
      </w:pPr>
    </w:p>
    <w:p w:rsidR="0085564E" w:rsidRPr="0085564E" w:rsidRDefault="008906D3" w:rsidP="00240A1D">
      <w:pPr>
        <w:rPr>
          <w:rFonts w:ascii="Tahoma" w:eastAsia="Times New Roman" w:hAnsi="Tahoma" w:cs="Tahoma"/>
          <w:b/>
          <w:bCs/>
          <w:color w:val="FFFFFF" w:themeColor="background1"/>
          <w:sz w:val="24"/>
          <w:szCs w:val="16"/>
          <w:lang w:eastAsia="es-ES"/>
        </w:rPr>
      </w:pPr>
      <w:r w:rsidRPr="008906D3">
        <w:rPr>
          <w:rFonts w:ascii="Tahoma" w:eastAsia="Times New Roman" w:hAnsi="Tahoma" w:cs="Tahoma"/>
          <w:b/>
          <w:bCs/>
          <w:noProof/>
          <w:color w:val="FFFFFF" w:themeColor="background1"/>
          <w:sz w:val="14"/>
          <w:szCs w:val="14"/>
          <w:lang w:val="es-EC" w:eastAsia="es-EC"/>
        </w:rPr>
        <mc:AlternateContent>
          <mc:Choice Requires="wps">
            <w:drawing>
              <wp:anchor distT="0" distB="0" distL="114300" distR="114300" simplePos="0" relativeHeight="251670528" behindDoc="1" locked="0" layoutInCell="1" allowOverlap="1" wp14:anchorId="1994569D" wp14:editId="6ACB7B22">
                <wp:simplePos x="0" y="0"/>
                <wp:positionH relativeFrom="column">
                  <wp:posOffset>-925830</wp:posOffset>
                </wp:positionH>
                <wp:positionV relativeFrom="paragraph">
                  <wp:posOffset>-40971</wp:posOffset>
                </wp:positionV>
                <wp:extent cx="7258050" cy="254000"/>
                <wp:effectExtent l="57150" t="19050" r="38100" b="88900"/>
                <wp:wrapNone/>
                <wp:docPr id="13" name="Rounded Rectangle 13"/>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13" o:spid="_x0000_s1026" style="position:absolute;margin-left:-72.9pt;margin-top:-3.25pt;width:571.5pt;height:20pt;z-index:-2516459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r w:rsidR="0085564E" w:rsidRPr="0085564E">
        <w:rPr>
          <w:rFonts w:ascii="Tahoma" w:eastAsia="Times New Roman" w:hAnsi="Tahoma" w:cs="Tahoma"/>
          <w:b/>
          <w:bCs/>
          <w:color w:val="FFFFFF" w:themeColor="background1"/>
          <w:sz w:val="24"/>
          <w:szCs w:val="16"/>
          <w:lang w:eastAsia="es-ES"/>
        </w:rPr>
        <w:t>JUNTA DE POLÍTICA Y REGULACIÓN MONETARIA Y FINANCIERA:</w:t>
      </w:r>
      <w:r w:rsidR="0085564E" w:rsidRPr="0085564E">
        <w:rPr>
          <w:rFonts w:eastAsia="Times New Roman"/>
          <w:color w:val="FFFFFF" w:themeColor="background1"/>
          <w:sz w:val="24"/>
          <w:szCs w:val="16"/>
          <w:lang w:eastAsia="es-ES"/>
        </w:rPr>
        <w:t> </w:t>
      </w:r>
    </w:p>
    <w:p w:rsidR="008906D3" w:rsidRPr="008906D3" w:rsidRDefault="008906D3" w:rsidP="008906D3">
      <w:pPr>
        <w:spacing w:after="0" w:line="240" w:lineRule="auto"/>
        <w:jc w:val="center"/>
        <w:rPr>
          <w:rFonts w:ascii="Tahoma" w:eastAsia="Times New Roman" w:hAnsi="Tahoma" w:cs="Tahoma"/>
          <w:b/>
          <w:bCs/>
          <w:color w:val="000000"/>
          <w:sz w:val="16"/>
          <w:szCs w:val="16"/>
          <w:lang w:eastAsia="es-ES"/>
        </w:rPr>
      </w:pPr>
    </w:p>
    <w:p w:rsidR="006F12D1" w:rsidRPr="006F12D1" w:rsidRDefault="0085564E" w:rsidP="0085564E">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Registro Oficial</w:t>
      </w:r>
      <w:r w:rsidR="006F12D1" w:rsidRPr="006F12D1">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No. 699,</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6F12D1" w:rsidRPr="006F12D1">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Jueves 25 de Febrero de 2016</w:t>
      </w:r>
    </w:p>
    <w:p w:rsidR="0085564E" w:rsidRDefault="0085564E" w:rsidP="008906D3">
      <w:pPr>
        <w:shd w:val="clear" w:color="auto" w:fill="FFFFFF"/>
        <w:spacing w:after="0" w:line="240" w:lineRule="auto"/>
        <w:jc w:val="center"/>
        <w:rPr>
          <w:rFonts w:ascii="Tahoma" w:hAnsi="Tahoma" w:cs="Tahoma"/>
          <w:b/>
          <w:bCs/>
          <w:color w:val="000000"/>
          <w:sz w:val="14"/>
          <w:szCs w:val="14"/>
        </w:rPr>
      </w:pPr>
    </w:p>
    <w:p w:rsidR="006F12D1" w:rsidRPr="0085564E" w:rsidRDefault="00135D5F" w:rsidP="0085564E">
      <w:pPr>
        <w:pStyle w:val="Prrafodelista"/>
        <w:numPr>
          <w:ilvl w:val="0"/>
          <w:numId w:val="15"/>
        </w:numPr>
        <w:shd w:val="clear" w:color="auto" w:fill="FFFFFF"/>
        <w:spacing w:after="0" w:line="240" w:lineRule="auto"/>
        <w:jc w:val="both"/>
        <w:rPr>
          <w:rFonts w:ascii="Tahoma" w:hAnsi="Tahoma" w:cs="Tahoma"/>
          <w:sz w:val="18"/>
          <w:szCs w:val="18"/>
        </w:rPr>
      </w:pPr>
      <w:r>
        <w:rPr>
          <w:rFonts w:ascii="Tahoma" w:hAnsi="Tahoma" w:cs="Tahoma"/>
          <w:b/>
          <w:color w:val="0070C0"/>
          <w:sz w:val="18"/>
          <w:szCs w:val="18"/>
        </w:rPr>
        <w:t xml:space="preserve">Resolución </w:t>
      </w:r>
      <w:hyperlink r:id="rId16" w:anchor="202-2016-F(699-16)" w:history="1">
        <w:r w:rsidR="006F12D1" w:rsidRPr="0085564E">
          <w:rPr>
            <w:rFonts w:ascii="Tahoma" w:hAnsi="Tahoma" w:cs="Tahoma"/>
            <w:b/>
            <w:color w:val="0070C0"/>
            <w:sz w:val="18"/>
            <w:szCs w:val="18"/>
          </w:rPr>
          <w:t>202-2016-F</w:t>
        </w:r>
      </w:hyperlink>
      <w:r w:rsidR="006F12D1" w:rsidRPr="0085564E">
        <w:rPr>
          <w:rFonts w:ascii="Tahoma" w:hAnsi="Tahoma" w:cs="Tahoma"/>
          <w:b/>
          <w:color w:val="0070C0"/>
          <w:sz w:val="18"/>
          <w:szCs w:val="18"/>
        </w:rPr>
        <w:t xml:space="preserve">: </w:t>
      </w:r>
      <w:proofErr w:type="spellStart"/>
      <w:r w:rsidR="006F12D1" w:rsidRPr="0085564E">
        <w:rPr>
          <w:rFonts w:ascii="Tahoma" w:hAnsi="Tahoma" w:cs="Tahoma"/>
          <w:sz w:val="18"/>
          <w:szCs w:val="18"/>
        </w:rPr>
        <w:t>Expídese</w:t>
      </w:r>
      <w:proofErr w:type="spellEnd"/>
      <w:r w:rsidR="006F12D1" w:rsidRPr="0085564E">
        <w:rPr>
          <w:rFonts w:ascii="Tahoma" w:hAnsi="Tahoma" w:cs="Tahoma"/>
          <w:sz w:val="18"/>
          <w:szCs w:val="18"/>
        </w:rPr>
        <w:t xml:space="preserve"> el procedimiento para la aplicación de la disposición transitoria tercera de la Ley Orgánica de Remisión de Intereses, Multas y Recargos</w:t>
      </w:r>
    </w:p>
    <w:p w:rsidR="006F12D1" w:rsidRPr="008906D3" w:rsidRDefault="006F12D1" w:rsidP="008906D3">
      <w:pPr>
        <w:shd w:val="clear" w:color="auto" w:fill="FFFFFF"/>
        <w:spacing w:after="0" w:line="240" w:lineRule="auto"/>
        <w:jc w:val="center"/>
        <w:rPr>
          <w:rFonts w:ascii="Tahoma" w:hAnsi="Tahoma" w:cs="Tahoma"/>
          <w:color w:val="000000"/>
          <w:sz w:val="14"/>
          <w:szCs w:val="14"/>
          <w:shd w:val="clear" w:color="auto" w:fill="FFFFFF"/>
        </w:rPr>
      </w:pPr>
    </w:p>
    <w:p w:rsidR="0085564E" w:rsidRDefault="0085564E" w:rsidP="008906D3">
      <w:pPr>
        <w:shd w:val="clear" w:color="auto" w:fill="FFFFFF"/>
        <w:spacing w:after="0" w:line="240" w:lineRule="auto"/>
        <w:jc w:val="center"/>
        <w:rPr>
          <w:rFonts w:ascii="Tahoma" w:eastAsia="Times New Roman" w:hAnsi="Tahoma" w:cs="Tahoma"/>
          <w:b/>
          <w:bCs/>
          <w:color w:val="000000"/>
          <w:sz w:val="14"/>
          <w:szCs w:val="14"/>
          <w:lang w:eastAsia="es-ES"/>
        </w:rPr>
        <w:sectPr w:rsidR="0085564E" w:rsidSect="008906D3">
          <w:headerReference w:type="default" r:id="rId17"/>
          <w:footerReference w:type="default" r:id="rId18"/>
          <w:type w:val="continuous"/>
          <w:pgSz w:w="11906" w:h="16838"/>
          <w:pgMar w:top="1417" w:right="849" w:bottom="993" w:left="1276" w:header="708" w:footer="708" w:gutter="0"/>
          <w:cols w:space="282"/>
          <w:docGrid w:linePitch="360"/>
        </w:sectPr>
      </w:pPr>
    </w:p>
    <w:p w:rsidR="0085564E" w:rsidRDefault="0085564E" w:rsidP="0085564E">
      <w:pPr>
        <w:spacing w:after="0" w:line="240" w:lineRule="auto"/>
        <w:jc w:val="both"/>
        <w:rPr>
          <w:rFonts w:ascii="Tahoma" w:eastAsia="Times New Roman" w:hAnsi="Tahoma" w:cs="Tahoma"/>
          <w:color w:val="000000"/>
          <w:sz w:val="14"/>
          <w:szCs w:val="14"/>
          <w:shd w:val="clear" w:color="auto" w:fill="FFFFFF"/>
          <w:lang w:eastAsia="es-ES"/>
        </w:rPr>
      </w:pP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En ejercicio de sus funciones, resuelve expedir el:</w:t>
      </w:r>
    </w:p>
    <w:p w:rsidR="006F12D1" w:rsidRPr="006F12D1" w:rsidRDefault="006F12D1" w:rsidP="0085564E">
      <w:pPr>
        <w:spacing w:after="0" w:line="240" w:lineRule="auto"/>
        <w:jc w:val="both"/>
        <w:rPr>
          <w:rFonts w:ascii="Tahoma" w:eastAsia="Times New Roman" w:hAnsi="Tahoma" w:cs="Tahoma"/>
          <w:sz w:val="14"/>
          <w:szCs w:val="14"/>
          <w:lang w:eastAsia="es-ES"/>
        </w:rPr>
      </w:pPr>
    </w:p>
    <w:p w:rsidR="006F12D1" w:rsidRPr="006F12D1" w:rsidRDefault="006F12D1" w:rsidP="0085564E">
      <w:pPr>
        <w:shd w:val="clear" w:color="auto" w:fill="FFFFFF"/>
        <w:spacing w:after="0" w:line="240" w:lineRule="auto"/>
        <w:jc w:val="both"/>
        <w:rPr>
          <w:rFonts w:ascii="Tahoma" w:eastAsia="Times New Roman" w:hAnsi="Tahoma" w:cs="Tahoma"/>
          <w:color w:val="000000"/>
          <w:sz w:val="14"/>
          <w:szCs w:val="14"/>
          <w:lang w:eastAsia="es-ES"/>
        </w:rPr>
      </w:pPr>
      <w:r w:rsidRPr="006F12D1">
        <w:rPr>
          <w:rFonts w:ascii="Tahoma" w:eastAsia="Times New Roman" w:hAnsi="Tahoma" w:cs="Tahoma"/>
          <w:b/>
          <w:bCs/>
          <w:color w:val="000000"/>
          <w:sz w:val="14"/>
          <w:szCs w:val="14"/>
          <w:lang w:eastAsia="es-ES"/>
        </w:rPr>
        <w:t>PROCEDIMIENTO PARA LA APLICACIÓN DE LA DISPOSICIÓN TRANSITORIA TERCERA DE LA LEY ORGÁNICA DE REMISIÓN DE INTERESES, MULTAS Y RECARGOS INCORPORADA POR LA LEY ORGÁNICA DE INCENTIVOS PARA ASOCIACIONES PÚBLICO PRIVADAS Y LA INVERSIÓN EXTRANJERA</w:t>
      </w:r>
      <w:r w:rsidRPr="008906D3">
        <w:rPr>
          <w:rFonts w:ascii="Tahoma" w:eastAsia="Times New Roman" w:hAnsi="Tahoma" w:cs="Tahoma"/>
          <w:b/>
          <w:bCs/>
          <w:color w:val="000000"/>
          <w:sz w:val="14"/>
          <w:szCs w:val="14"/>
          <w:lang w:eastAsia="es-ES"/>
        </w:rPr>
        <w:t> </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1.-Ámbito de Aplicación:</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Este procedimiento será aplicado por las entidades del sector financiero público que se encuentren activas o en procesos de liquidación.</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2.- Alcance:</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Este procedimiento se aplicará a las operaciones de crédito y a las inversiones efectuadas por las entidades determinadas en el artículo 1, que hayan sido realizadas de forma directa, a través de negocios fiduciarios o mediante cualquier otra modalidad que hayan financiado proyectos de infraestructura física, que se encuentren vencidas o que hubieren sido paralizadas y que no hayan concluido al 27 de abril de 2015, por las causas establecidas en la ley, en favor de personas naturales o jurídicas de derecho privado.</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Para acogerse a los beneficios determinados en la Ley Orgánica de Remisión de Intereses, Multas y Recargos, será necesario que se evidencie que los retrasos en el cumplimiento de obligaciones contractuales del crédito o de las inversiones sean imputables a la administración pública central o a las entidades del sector financiero público.</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3.- Infraestructura Física:</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Para efectos de la aplicación de la Ley Orgánica de Remisión de Intereses, Multas y Recargos, se entenderá como infraestructura física al conjunto de elementos físicos materiales que se encuentran en un espacio determinado, que hayan recibido recursos para su ejecución por medio de operaciones de crédito o de inversión a través de las entidades del sector financiero público, tales como:</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 Inmobiliarios que comprende vivienda, hospitales.</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 Otros proyectos cuyo objetivo fue la construcción de infraestructura física.</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4.- Inicio del Trámite:</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El deudor cuyo crédito o inversión cumpla con las condiciones determinadas en la Ley Orgánica de Remisión de Intereses, Multas y Recargos, podrá solicitar a la entidad acreedora en forma motivada y adjuntando toda la documentación que sustente la petición de reestructura, refinanciamiento o reactivación de la operación de crédito o de inversión.</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En el caso de negocios fiduciarios será la Fiduciaria por instrucción de la Junta del Fideicomiso, y en su calidad de administradora y representante legal, la que podrá presentar a la entidad financiera pública de forma motivada la petición de reestructura, refinanciamiento o reactivación del proyecto, entendiéndose por reactivación cualquier acción encaminada a la consecución del proyecto.</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5.- Recepción:</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entidad financiera pública receptará las peticiones presentadas y verificará el cumplimiento de lo dispuesto en el artículo 4 y notificará con la admisión de la petición. En caso de determinar la falta de cumplimiento de lo señalado en el artículo 4, dispondrá que se complete la información que la entidad requiera en el plazo de 5 días.</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6.- Informes Técnico-Financiero y Legal de la Entidad:</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Una vez admitida a trámite la petición, la entidad financiera pública, dispondrá que se preparen los correspondientes informes técnico-financiero y legal institucionales de las áreas correspondientes en los que se determine, en el ámbito de sus competencias, al menos lo siguiente:</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1. Informe técnico-financiero:</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a) Situación económica financiera de la operación de crédito o de la inversión.</w:t>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b) Determinar que las obligaciones crediticias se hallan vencidas o que los proyectos se encuentren paralizados y no concluidos al 27 de abril de 2015.</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lastRenderedPageBreak/>
        <w:t>c) Informar si existieron retrasos imputables a la administración pública central o a las entidades del sector financiero público y si estos retrasos provocaron el vencimiento o paralización o no conclusión de los proyectos.</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d) Que se establezca el estado y avance de los proyectos de infraestructura así como las acciones que éstos requieran para su continuidad.</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e) Que se establezca la viabilidad financiera de reactivar, reestructurar o refinanciar la operación crediticia o de inversión, con el propósito de garantizar la continuidad de los proyectos de infraestructura física y que su resultado minimice pérdidas para el Estado.</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f) Conclusiones y recomendaciones.</w:t>
      </w:r>
    </w:p>
    <w:p w:rsidR="0085564E" w:rsidRDefault="0085564E" w:rsidP="0085564E">
      <w:pPr>
        <w:spacing w:after="0" w:line="240" w:lineRule="auto"/>
        <w:jc w:val="both"/>
        <w:rPr>
          <w:rFonts w:ascii="Tahoma" w:eastAsia="Times New Roman" w:hAnsi="Tahoma" w:cs="Tahoma"/>
          <w:color w:val="000000"/>
          <w:sz w:val="14"/>
          <w:szCs w:val="14"/>
          <w:shd w:val="clear" w:color="auto" w:fill="FFFFFF"/>
          <w:lang w:eastAsia="es-ES"/>
        </w:rPr>
      </w:pP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2. Informe legal:</w:t>
      </w:r>
    </w:p>
    <w:p w:rsidR="0085564E" w:rsidRDefault="0085564E" w:rsidP="0085564E">
      <w:pPr>
        <w:spacing w:after="0" w:line="240" w:lineRule="auto"/>
        <w:jc w:val="both"/>
        <w:rPr>
          <w:rFonts w:ascii="Tahoma" w:eastAsia="Times New Roman" w:hAnsi="Tahoma" w:cs="Tahoma"/>
          <w:color w:val="000000"/>
          <w:sz w:val="14"/>
          <w:szCs w:val="14"/>
          <w:shd w:val="clear" w:color="auto" w:fill="FFFFFF"/>
          <w:lang w:eastAsia="es-ES"/>
        </w:rPr>
      </w:pP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a) Situación legal de la operación de crédito o inversión.</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b) Análisis legal del estado de las garantías.</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c) Estado de las acciones de cobro iniciadas.</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d) Informar si existieron retrasos imputables a la administración pública central o a las entidades del sector financiero público y si estos retrasos provocaron el vencimiento, paralización o no conclusión de los proyectos.</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e) Conclusiones y recomendaciones.</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La entidad financiera pública podrá requerir a cualquier institución de la administración pública o entidades del sistema financiero nacional la documentación e información necesaria para la elaboración de los informes técnico-financiero y legal de la entidad.</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Los informes serán remitidos al representante legal de la entidad para el trámite correspondiente.</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7.- Conocimiento y Resolución:</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Sobre la base de los informes técnico-financiero y legal, la entidad financiera pública, resolverá en el plazo previsto en el numeral 1 de la Disposición Reformatoria Octava de la Ley Orgánica de Incentivos para Asociaciones Público Privadas y la Inversión Extranjera añadido a continuación de la Disposición Transitoria Segunda de la Ley Orgánica de Remisión de Intereses, Multas y Recargos, la Disposición Transitoria Tercera, sobre la reestructuración, refinanciamiento o reactivación, según corresponda, que constará en una resolución motivada, la cual será notificada al deudor o a la contraparte de forma inmediata.</w:t>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A partir de la fecha de notificación el deudor o la contraparte, procederá de forma inmediata a suscribir la documentación correspondiente.</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En el instrumento legal que formalice la reestructura, refinanciación o reactivación, constará la obligación del deudor o contraparte de cancelar el saldo insoluto resultante de este procedimiento y someterse a los plazos y condiciones que determine la entidad financiera pública para el pago de los créditos.</w:t>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En caso de que la solicitud sea negada, deberá ser notificada al deudor o contraparte de manera inmediata y se continuará con las acciones correspondientes.</w:t>
      </w: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8.- Suspensión de Coactivas: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A partir de la presentación de la solicitud y con la finalidad de facilitar la reestructura, refinanciamiento o reactivación de las operaciones de crédito o inversión y la finalización de los proyectos, las acciones coactivas que se hubieren iniciado se suspenderán temporalmente al igual que los plazos para la prescripción, hasta que la entidad resuelva sobre la solicitud presentada.</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La suspensión del procedimiento coactivo de ejecución se mantendrá mientras los deudores reestructurados o refinanciados permanezcan al día en el pago de sus obligaciones.</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color w:val="000000"/>
          <w:sz w:val="14"/>
          <w:szCs w:val="14"/>
          <w:shd w:val="clear" w:color="auto" w:fill="FFFFFF"/>
          <w:lang w:eastAsia="es-ES"/>
        </w:rPr>
        <w:t>En caso que la entidad financiera pública resuelva no conceder la reestructura, refinanciamiento o reactivación de las operaciones de crédito o inversión, el procedimiento coactivo se reiniciará de forma inmediata.</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9.- Garantías: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Por efectos de la reestructuración, refinanciamiento o reactivación, el deudor deberá rendir las garantías reales correspondientes para cubrir el monto y plazo de la obligación.</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lastRenderedPageBreak/>
        <w:br/>
      </w:r>
      <w:r w:rsidRPr="006F12D1">
        <w:rPr>
          <w:rFonts w:ascii="Tahoma" w:eastAsia="Times New Roman" w:hAnsi="Tahoma" w:cs="Tahoma"/>
          <w:b/>
          <w:bCs/>
          <w:color w:val="000000"/>
          <w:sz w:val="14"/>
          <w:szCs w:val="14"/>
          <w:shd w:val="clear" w:color="auto" w:fill="FFFFFF"/>
          <w:lang w:eastAsia="es-ES"/>
        </w:rPr>
        <w:t>ARTÍCULO 10.- Desembolsos:</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Una vez instrumentada la reestructuración, refinanciamiento o reactivación, la entidad financiera pública desembolsará, de ser el caso, los valores que correspondan para viabilizar la culminación del proyecto de infraestructura física.</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11.- Registro y Contabilización:</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Las operaciones reestructuradas, refinanciadas o reactivadas serán registradas y contabilizadas de acuerdo con las normas vigentes para el efecto.</w:t>
      </w: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lang w:eastAsia="es-ES"/>
        </w:rPr>
        <w:br/>
      </w:r>
      <w:r w:rsidRPr="006F12D1">
        <w:rPr>
          <w:rFonts w:ascii="Tahoma" w:eastAsia="Times New Roman" w:hAnsi="Tahoma" w:cs="Tahoma"/>
          <w:b/>
          <w:bCs/>
          <w:color w:val="000000"/>
          <w:sz w:val="14"/>
          <w:szCs w:val="14"/>
          <w:shd w:val="clear" w:color="auto" w:fill="FFFFFF"/>
          <w:lang w:eastAsia="es-ES"/>
        </w:rPr>
        <w:t>ARTÍCULO 12.- Control y Supervisión:</w:t>
      </w:r>
      <w:r w:rsidRPr="008906D3">
        <w:rPr>
          <w:rFonts w:ascii="Tahoma" w:eastAsia="Times New Roman" w:hAnsi="Tahoma" w:cs="Tahoma"/>
          <w:b/>
          <w:bCs/>
          <w:color w:val="000000"/>
          <w:sz w:val="14"/>
          <w:szCs w:val="14"/>
          <w:shd w:val="clear" w:color="auto" w:fill="FFFFFF"/>
          <w:lang w:eastAsia="es-ES"/>
        </w:rPr>
        <w:t> </w:t>
      </w:r>
      <w:r w:rsidRPr="006F12D1">
        <w:rPr>
          <w:rFonts w:ascii="Tahoma" w:eastAsia="Times New Roman" w:hAnsi="Tahoma" w:cs="Tahoma"/>
          <w:color w:val="000000"/>
          <w:sz w:val="14"/>
          <w:szCs w:val="14"/>
          <w:shd w:val="clear" w:color="auto" w:fill="FFFFFF"/>
          <w:lang w:eastAsia="es-ES"/>
        </w:rPr>
        <w:t>La entidad financiera pública efectuará la supervisión y seguimiento al proyecto de infraestructura física con el fin de que se cumpla las condiciones y plazos pactados en las reestructuras, refinanciamientos o reactivaciones.</w:t>
      </w:r>
    </w:p>
    <w:p w:rsidR="0085564E" w:rsidRDefault="0085564E" w:rsidP="0085564E">
      <w:pPr>
        <w:spacing w:after="0" w:line="240" w:lineRule="auto"/>
        <w:jc w:val="both"/>
        <w:rPr>
          <w:rFonts w:ascii="Tahoma" w:eastAsia="Times New Roman" w:hAnsi="Tahoma" w:cs="Tahoma"/>
          <w:color w:val="000000"/>
          <w:sz w:val="14"/>
          <w:szCs w:val="14"/>
          <w:lang w:eastAsia="es-ES"/>
        </w:rPr>
      </w:pPr>
    </w:p>
    <w:p w:rsidR="0085564E" w:rsidRDefault="006F12D1" w:rsidP="0085564E">
      <w:pPr>
        <w:spacing w:after="0" w:line="240" w:lineRule="auto"/>
        <w:jc w:val="both"/>
        <w:rPr>
          <w:rFonts w:ascii="Tahoma" w:eastAsia="Times New Roman" w:hAnsi="Tahoma" w:cs="Tahoma"/>
          <w:color w:val="000000"/>
          <w:sz w:val="14"/>
          <w:szCs w:val="14"/>
          <w:shd w:val="clear" w:color="auto" w:fill="FFFFFF"/>
          <w:lang w:eastAsia="es-ES"/>
        </w:rPr>
      </w:pPr>
      <w:r w:rsidRPr="006F12D1">
        <w:rPr>
          <w:rFonts w:ascii="Tahoma" w:eastAsia="Times New Roman" w:hAnsi="Tahoma" w:cs="Tahoma"/>
          <w:color w:val="000000"/>
          <w:sz w:val="14"/>
          <w:szCs w:val="14"/>
          <w:shd w:val="clear" w:color="auto" w:fill="FFFFFF"/>
          <w:lang w:eastAsia="es-ES"/>
        </w:rPr>
        <w:t>Los organismos de control, en el ámbito de sus competencias, efectuarán el control de las operaciones de crédito o de inversión y la ejecución de los proyectos de infraestructura física de acuerdo con la función establecida en el artículo 62, numeral 12 del Código Orgánico Monetario y Financiero, y absolverán las consultas sobre las materias de su competencia.</w:t>
      </w:r>
    </w:p>
    <w:p w:rsidR="006F12D1" w:rsidRPr="006F12D1" w:rsidRDefault="006F12D1" w:rsidP="0085564E">
      <w:pPr>
        <w:spacing w:after="0" w:line="240" w:lineRule="auto"/>
        <w:jc w:val="both"/>
        <w:rPr>
          <w:rFonts w:ascii="Tahoma" w:eastAsia="Times New Roman" w:hAnsi="Tahoma" w:cs="Tahoma"/>
          <w:sz w:val="14"/>
          <w:szCs w:val="14"/>
          <w:lang w:eastAsia="es-ES"/>
        </w:rPr>
      </w:pPr>
    </w:p>
    <w:p w:rsidR="006F12D1" w:rsidRPr="006F12D1" w:rsidRDefault="006F12D1" w:rsidP="0085564E">
      <w:pPr>
        <w:shd w:val="clear" w:color="auto" w:fill="FFFFFF"/>
        <w:spacing w:after="0" w:line="240" w:lineRule="auto"/>
        <w:jc w:val="both"/>
        <w:rPr>
          <w:rFonts w:ascii="Tahoma" w:eastAsia="Times New Roman" w:hAnsi="Tahoma" w:cs="Tahoma"/>
          <w:color w:val="000000"/>
          <w:sz w:val="14"/>
          <w:szCs w:val="14"/>
          <w:lang w:eastAsia="es-ES"/>
        </w:rPr>
      </w:pPr>
      <w:r w:rsidRPr="006F12D1">
        <w:rPr>
          <w:rFonts w:ascii="Tahoma" w:eastAsia="Times New Roman" w:hAnsi="Tahoma" w:cs="Tahoma"/>
          <w:b/>
          <w:bCs/>
          <w:color w:val="000000"/>
          <w:sz w:val="14"/>
          <w:szCs w:val="14"/>
          <w:lang w:eastAsia="es-ES"/>
        </w:rPr>
        <w:t>DISPOSICIONES GENERALES</w:t>
      </w:r>
      <w:r w:rsidRPr="008906D3">
        <w:rPr>
          <w:rFonts w:ascii="Tahoma" w:eastAsia="Times New Roman" w:hAnsi="Tahoma" w:cs="Tahoma"/>
          <w:b/>
          <w:bCs/>
          <w:color w:val="000000"/>
          <w:sz w:val="14"/>
          <w:szCs w:val="14"/>
          <w:lang w:eastAsia="es-ES"/>
        </w:rPr>
        <w:t> </w:t>
      </w:r>
    </w:p>
    <w:p w:rsidR="0085564E" w:rsidRDefault="006F12D1" w:rsidP="0085564E">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PRIMERA.- </w:t>
      </w:r>
      <w:r w:rsidRPr="008906D3">
        <w:rPr>
          <w:rFonts w:ascii="Tahoma" w:eastAsia="Times New Roman" w:hAnsi="Tahoma" w:cs="Tahoma"/>
          <w:color w:val="000000"/>
          <w:sz w:val="14"/>
          <w:szCs w:val="14"/>
          <w:shd w:val="clear" w:color="auto" w:fill="FFFFFF"/>
          <w:lang w:eastAsia="es-ES"/>
        </w:rPr>
        <w:t>Las entidades financieras públicas referidas en el artículo 1, emitirán, de ser el caso, el instructivo necesario para la aplicación del procedimiento operativo contenido en la presente resolución, de acuerdo con la estructura orgánica de cada entidad.</w:t>
      </w:r>
    </w:p>
    <w:p w:rsidR="0085564E" w:rsidRDefault="006F12D1" w:rsidP="0085564E">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SEGUNDA.- </w:t>
      </w:r>
      <w:r w:rsidRPr="008906D3">
        <w:rPr>
          <w:rFonts w:ascii="Tahoma" w:eastAsia="Times New Roman" w:hAnsi="Tahoma" w:cs="Tahoma"/>
          <w:color w:val="000000"/>
          <w:sz w:val="14"/>
          <w:szCs w:val="14"/>
          <w:shd w:val="clear" w:color="auto" w:fill="FFFFFF"/>
          <w:lang w:eastAsia="es-ES"/>
        </w:rPr>
        <w:t xml:space="preserve">Las entidades financieras públicas referidas en el artículo 1, </w:t>
      </w:r>
      <w:r w:rsidRPr="008906D3">
        <w:rPr>
          <w:rFonts w:ascii="Tahoma" w:eastAsia="Times New Roman" w:hAnsi="Tahoma" w:cs="Tahoma"/>
          <w:color w:val="000000"/>
          <w:sz w:val="14"/>
          <w:szCs w:val="14"/>
          <w:shd w:val="clear" w:color="auto" w:fill="FFFFFF"/>
          <w:lang w:eastAsia="es-ES"/>
        </w:rPr>
        <w:lastRenderedPageBreak/>
        <w:t>pondrán en conocimiento de sus deudores o contrapartes, la presente resolución.</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TERCERA.- </w:t>
      </w:r>
      <w:r w:rsidRPr="008906D3">
        <w:rPr>
          <w:rFonts w:ascii="Tahoma" w:eastAsia="Times New Roman" w:hAnsi="Tahoma" w:cs="Tahoma"/>
          <w:color w:val="000000"/>
          <w:sz w:val="14"/>
          <w:szCs w:val="14"/>
          <w:shd w:val="clear" w:color="auto" w:fill="FFFFFF"/>
          <w:lang w:eastAsia="es-ES"/>
        </w:rPr>
        <w:t>Las entidades financieras públicas en liquidación, aplicarán la Ley Orgánica de Remisión de Intereses, Multas y Recargos, únicamente efectuando reestructuraciones en los plazos de las operaciones de crédito.</w:t>
      </w:r>
    </w:p>
    <w:p w:rsidR="0085564E" w:rsidRDefault="006F12D1" w:rsidP="0085564E">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CUARTA.- </w:t>
      </w:r>
      <w:r w:rsidRPr="008906D3">
        <w:rPr>
          <w:rFonts w:ascii="Tahoma" w:eastAsia="Times New Roman" w:hAnsi="Tahoma" w:cs="Tahoma"/>
          <w:color w:val="000000"/>
          <w:sz w:val="14"/>
          <w:szCs w:val="14"/>
          <w:shd w:val="clear" w:color="auto" w:fill="FFFFFF"/>
          <w:lang w:eastAsia="es-ES"/>
        </w:rPr>
        <w:t>No les serán aplicables los beneficios de las Disposiciones Transitorias Segunda y Tercera de la Ley Orgánica de Remisión de Intereses, Multas y Recargos a las operaciones de crédito, de inversión o proyectos de infraestructura física que se encuentren para decisión de los Tribunales de Justicia o que se encuentren en la etapa de instrucción fiscal.</w:t>
      </w:r>
    </w:p>
    <w:p w:rsidR="0085564E" w:rsidRDefault="006F12D1" w:rsidP="0085564E">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TRANSITORIA.- </w:t>
      </w:r>
      <w:r w:rsidRPr="008906D3">
        <w:rPr>
          <w:rFonts w:ascii="Tahoma" w:eastAsia="Times New Roman" w:hAnsi="Tahoma" w:cs="Tahoma"/>
          <w:color w:val="000000"/>
          <w:sz w:val="14"/>
          <w:szCs w:val="14"/>
          <w:shd w:val="clear" w:color="auto" w:fill="FFFFFF"/>
          <w:lang w:eastAsia="es-ES"/>
        </w:rPr>
        <w:t>Las entidades financieras públicas referidas en el artículo 1, en el plazo de 15 días, a partir de la vigencia de esta resolución implementarán las Disposiciones Generales Primera y Segunda.</w:t>
      </w:r>
      <w:r w:rsidRPr="008906D3">
        <w:rPr>
          <w:rFonts w:ascii="Tahoma" w:eastAsia="Times New Roman" w:hAnsi="Tahoma" w:cs="Tahoma"/>
          <w:color w:val="000000"/>
          <w:sz w:val="14"/>
          <w:szCs w:val="14"/>
          <w:lang w:eastAsia="es-ES"/>
        </w:rPr>
        <w:br/>
      </w: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DEROGATORIA.- </w:t>
      </w:r>
      <w:r w:rsidRPr="008906D3">
        <w:rPr>
          <w:rFonts w:ascii="Tahoma" w:eastAsia="Times New Roman" w:hAnsi="Tahoma" w:cs="Tahoma"/>
          <w:color w:val="000000"/>
          <w:sz w:val="14"/>
          <w:szCs w:val="14"/>
          <w:shd w:val="clear" w:color="auto" w:fill="FFFFFF"/>
          <w:lang w:eastAsia="es-ES"/>
        </w:rPr>
        <w:t>Deróguese la resolución No. 086-2015-F expedida por la Junta de Política y Regulación Monetaria y Financiera el 26 de junio de 2015.</w:t>
      </w:r>
    </w:p>
    <w:p w:rsidR="0085564E" w:rsidRDefault="006F12D1" w:rsidP="0085564E">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DISPOSICIÓN FINAL.- </w:t>
      </w:r>
      <w:r w:rsidRPr="008906D3">
        <w:rPr>
          <w:rFonts w:ascii="Tahoma" w:eastAsia="Times New Roman" w:hAnsi="Tahoma" w:cs="Tahoma"/>
          <w:color w:val="000000"/>
          <w:sz w:val="14"/>
          <w:szCs w:val="14"/>
          <w:shd w:val="clear" w:color="auto" w:fill="FFFFFF"/>
          <w:lang w:eastAsia="es-ES"/>
        </w:rPr>
        <w:t>Esta resolución entrará en vigencia a partir de la presente fecha, sin perjuicio de su publicación en el Registro Oficial.</w:t>
      </w:r>
    </w:p>
    <w:p w:rsidR="006F12D1" w:rsidRDefault="006F12D1" w:rsidP="0085564E">
      <w:pPr>
        <w:shd w:val="clear" w:color="auto" w:fill="FFFFFF"/>
        <w:spacing w:after="0" w:line="240" w:lineRule="auto"/>
        <w:jc w:val="both"/>
        <w:rPr>
          <w:rFonts w:ascii="Tahoma" w:eastAsia="Times New Roman" w:hAnsi="Tahoma" w:cs="Tahoma"/>
          <w:color w:val="000000"/>
          <w:sz w:val="14"/>
          <w:szCs w:val="14"/>
          <w:shd w:val="clear" w:color="auto" w:fill="FFFFFF"/>
          <w:lang w:eastAsia="es-ES"/>
        </w:rPr>
      </w:pPr>
      <w:r w:rsidRPr="008906D3">
        <w:rPr>
          <w:rFonts w:ascii="Tahoma" w:eastAsia="Times New Roman" w:hAnsi="Tahoma" w:cs="Tahoma"/>
          <w:color w:val="000000"/>
          <w:sz w:val="14"/>
          <w:szCs w:val="14"/>
          <w:lang w:eastAsia="es-ES"/>
        </w:rPr>
        <w:br/>
      </w:r>
      <w:r w:rsidRPr="008906D3">
        <w:rPr>
          <w:rFonts w:ascii="Tahoma" w:eastAsia="Times New Roman" w:hAnsi="Tahoma" w:cs="Tahoma"/>
          <w:b/>
          <w:bCs/>
          <w:color w:val="000000"/>
          <w:sz w:val="14"/>
          <w:szCs w:val="14"/>
          <w:shd w:val="clear" w:color="auto" w:fill="FFFFFF"/>
          <w:lang w:eastAsia="es-ES"/>
        </w:rPr>
        <w:t>COMUNÍQUESE.- </w:t>
      </w:r>
      <w:r w:rsidRPr="008906D3">
        <w:rPr>
          <w:rFonts w:ascii="Tahoma" w:eastAsia="Times New Roman" w:hAnsi="Tahoma" w:cs="Tahoma"/>
          <w:color w:val="000000"/>
          <w:sz w:val="14"/>
          <w:szCs w:val="14"/>
          <w:shd w:val="clear" w:color="auto" w:fill="FFFFFF"/>
          <w:lang w:eastAsia="es-ES"/>
        </w:rPr>
        <w:t>Dada en el Distrito Metropolitano de Quito, el 28 de enero de 2016.</w:t>
      </w:r>
    </w:p>
    <w:p w:rsidR="0085564E" w:rsidRDefault="0085564E"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sectPr w:rsidR="0085564E" w:rsidSect="0085564E">
          <w:type w:val="continuous"/>
          <w:pgSz w:w="11906" w:h="16838"/>
          <w:pgMar w:top="1417" w:right="849" w:bottom="993" w:left="1276" w:header="708" w:footer="708" w:gutter="0"/>
          <w:cols w:num="2" w:space="282"/>
          <w:docGrid w:linePitch="360"/>
        </w:sectPr>
      </w:pPr>
    </w:p>
    <w:p w:rsidR="0085564E" w:rsidRDefault="0085564E"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pPr>
    </w:p>
    <w:p w:rsidR="0085564E" w:rsidRDefault="0085564E" w:rsidP="008906D3">
      <w:pPr>
        <w:shd w:val="clear" w:color="auto" w:fill="FFFFFF"/>
        <w:spacing w:after="0" w:line="240" w:lineRule="auto"/>
        <w:jc w:val="center"/>
        <w:rPr>
          <w:rFonts w:ascii="Tahoma" w:hAnsi="Tahoma" w:cs="Tahoma"/>
          <w:b/>
          <w:bCs/>
          <w:color w:val="000000"/>
          <w:sz w:val="14"/>
          <w:szCs w:val="14"/>
          <w:shd w:val="clear" w:color="auto" w:fill="FFFFFF"/>
        </w:rPr>
        <w:sectPr w:rsidR="0085564E" w:rsidSect="0085564E">
          <w:type w:val="continuous"/>
          <w:pgSz w:w="11906" w:h="16838"/>
          <w:pgMar w:top="1417" w:right="849" w:bottom="993" w:left="1276" w:header="708" w:footer="708" w:gutter="0"/>
          <w:cols w:num="2" w:space="282"/>
          <w:docGrid w:linePitch="360"/>
        </w:sectPr>
      </w:pPr>
    </w:p>
    <w:p w:rsidR="0085564E" w:rsidRDefault="0085564E" w:rsidP="008906D3">
      <w:pPr>
        <w:shd w:val="clear" w:color="auto" w:fill="FFFFFF"/>
        <w:spacing w:after="0" w:line="240" w:lineRule="auto"/>
        <w:jc w:val="center"/>
        <w:rPr>
          <w:rFonts w:ascii="Tahoma" w:hAnsi="Tahoma" w:cs="Tahoma"/>
          <w:b/>
          <w:bCs/>
          <w:color w:val="000000"/>
          <w:sz w:val="14"/>
          <w:szCs w:val="14"/>
          <w:shd w:val="clear" w:color="auto" w:fill="FFFFFF"/>
        </w:rPr>
      </w:pPr>
    </w:p>
    <w:p w:rsidR="0085564E" w:rsidRDefault="0085564E" w:rsidP="008906D3">
      <w:pPr>
        <w:shd w:val="clear" w:color="auto" w:fill="FFFFFF"/>
        <w:spacing w:after="0" w:line="240" w:lineRule="auto"/>
        <w:jc w:val="center"/>
        <w:rPr>
          <w:rFonts w:ascii="Tahoma" w:hAnsi="Tahoma" w:cs="Tahoma"/>
          <w:b/>
          <w:bCs/>
          <w:color w:val="000000"/>
          <w:sz w:val="14"/>
          <w:szCs w:val="14"/>
          <w:shd w:val="clear" w:color="auto" w:fill="FFFFFF"/>
        </w:rPr>
      </w:pPr>
    </w:p>
    <w:p w:rsidR="006F12D1" w:rsidRPr="0085564E" w:rsidRDefault="00135D5F" w:rsidP="0085564E">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Registro Oficial</w:t>
      </w:r>
      <w:r w:rsidR="006F12D1" w:rsidRPr="0085564E">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No. 700,</w:t>
      </w:r>
      <w:r w:rsidR="0085564E">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6F12D1" w:rsidRPr="0085564E">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Viernes 26 de Febrero de 2016</w:t>
      </w:r>
    </w:p>
    <w:p w:rsidR="006F12D1" w:rsidRPr="008906D3" w:rsidRDefault="006F12D1" w:rsidP="008906D3">
      <w:pPr>
        <w:shd w:val="clear" w:color="auto" w:fill="FFFFFF"/>
        <w:spacing w:after="0" w:line="240" w:lineRule="auto"/>
        <w:jc w:val="center"/>
        <w:rPr>
          <w:rFonts w:ascii="Tahoma" w:eastAsia="Times New Roman" w:hAnsi="Tahoma" w:cs="Tahoma"/>
          <w:color w:val="000000"/>
          <w:sz w:val="14"/>
          <w:szCs w:val="14"/>
          <w:shd w:val="clear" w:color="auto" w:fill="FFFFFF"/>
          <w:lang w:eastAsia="es-ES"/>
        </w:rPr>
      </w:pPr>
    </w:p>
    <w:p w:rsidR="006F12D1" w:rsidRPr="00135D5F" w:rsidRDefault="00135D5F" w:rsidP="00135D5F">
      <w:pPr>
        <w:pStyle w:val="Prrafodelista"/>
        <w:numPr>
          <w:ilvl w:val="0"/>
          <w:numId w:val="15"/>
        </w:numPr>
        <w:shd w:val="clear" w:color="auto" w:fill="FFFFFF"/>
        <w:spacing w:after="0" w:line="240" w:lineRule="auto"/>
        <w:jc w:val="both"/>
        <w:rPr>
          <w:rFonts w:ascii="Tahoma" w:hAnsi="Tahoma" w:cs="Tahoma"/>
          <w:color w:val="000000"/>
          <w:sz w:val="18"/>
          <w:szCs w:val="18"/>
        </w:rPr>
      </w:pPr>
      <w:r w:rsidRPr="00135D5F">
        <w:rPr>
          <w:rFonts w:ascii="Tahoma" w:hAnsi="Tahoma" w:cs="Tahoma"/>
          <w:b/>
          <w:color w:val="0070C0"/>
          <w:sz w:val="18"/>
          <w:szCs w:val="18"/>
        </w:rPr>
        <w:t xml:space="preserve">Resolución </w:t>
      </w:r>
      <w:hyperlink r:id="rId19" w:history="1">
        <w:r w:rsidR="006F12D1" w:rsidRPr="00135D5F">
          <w:rPr>
            <w:rFonts w:ascii="Tahoma" w:hAnsi="Tahoma" w:cs="Tahoma"/>
            <w:b/>
            <w:color w:val="0070C0"/>
            <w:sz w:val="18"/>
            <w:szCs w:val="18"/>
          </w:rPr>
          <w:t>192-2016-F</w:t>
        </w:r>
      </w:hyperlink>
      <w:r w:rsidR="006F12D1" w:rsidRPr="00135D5F">
        <w:rPr>
          <w:rFonts w:ascii="Tahoma" w:hAnsi="Tahoma" w:cs="Tahoma"/>
          <w:b/>
          <w:color w:val="0070C0"/>
          <w:sz w:val="18"/>
          <w:szCs w:val="18"/>
        </w:rPr>
        <w:t xml:space="preserve">: </w:t>
      </w:r>
      <w:r w:rsidR="006F12D1" w:rsidRPr="00135D5F">
        <w:rPr>
          <w:rFonts w:ascii="Tahoma" w:hAnsi="Tahoma" w:cs="Tahoma"/>
          <w:sz w:val="18"/>
          <w:szCs w:val="18"/>
        </w:rPr>
        <w:t>Autorícese al BIESS la operación de financiamiento para la prevención de mora patronal</w:t>
      </w:r>
      <w:r w:rsidR="006F12D1" w:rsidRPr="00135D5F">
        <w:rPr>
          <w:rFonts w:ascii="Tahoma" w:hAnsi="Tahoma" w:cs="Tahoma"/>
          <w:sz w:val="18"/>
          <w:szCs w:val="18"/>
        </w:rPr>
        <w:br/>
      </w:r>
    </w:p>
    <w:p w:rsidR="00135D5F" w:rsidRDefault="00135D5F" w:rsidP="008906D3">
      <w:pPr>
        <w:shd w:val="clear" w:color="auto" w:fill="FFFFFF"/>
        <w:spacing w:after="0" w:line="240" w:lineRule="auto"/>
        <w:jc w:val="center"/>
        <w:rPr>
          <w:rFonts w:ascii="Tahoma" w:eastAsia="Times New Roman" w:hAnsi="Tahoma" w:cs="Tahoma"/>
          <w:b/>
          <w:bCs/>
          <w:color w:val="010000"/>
          <w:sz w:val="14"/>
          <w:szCs w:val="14"/>
          <w:lang w:eastAsia="es-ES"/>
        </w:rPr>
        <w:sectPr w:rsidR="00135D5F" w:rsidSect="008906D3">
          <w:type w:val="continuous"/>
          <w:pgSz w:w="11906" w:h="16838"/>
          <w:pgMar w:top="1417" w:right="849" w:bottom="993" w:left="1276" w:header="708" w:footer="708" w:gutter="0"/>
          <w:cols w:space="282"/>
          <w:docGrid w:linePitch="360"/>
        </w:sectPr>
      </w:pPr>
    </w:p>
    <w:p w:rsidR="00135D5F" w:rsidRDefault="006F12D1" w:rsidP="002F4C81">
      <w:pPr>
        <w:shd w:val="clear" w:color="auto" w:fill="FFFFFF"/>
        <w:spacing w:after="0" w:line="240" w:lineRule="auto"/>
        <w:ind w:left="708"/>
        <w:jc w:val="center"/>
        <w:rPr>
          <w:rFonts w:ascii="Tahoma" w:eastAsia="Times New Roman" w:hAnsi="Tahoma" w:cs="Tahoma"/>
          <w:color w:val="010000"/>
          <w:sz w:val="14"/>
          <w:szCs w:val="14"/>
          <w:lang w:eastAsia="es-ES"/>
        </w:rPr>
        <w:sectPr w:rsidR="00135D5F" w:rsidSect="00135D5F">
          <w:type w:val="continuous"/>
          <w:pgSz w:w="11906" w:h="16838"/>
          <w:pgMar w:top="1417" w:right="849" w:bottom="993" w:left="1276" w:header="708" w:footer="708" w:gutter="0"/>
          <w:cols w:space="282"/>
          <w:docGrid w:linePitch="360"/>
        </w:sectPr>
      </w:pPr>
      <w:r w:rsidRPr="006F12D1">
        <w:rPr>
          <w:rFonts w:ascii="Tahoma" w:eastAsia="Times New Roman" w:hAnsi="Tahoma" w:cs="Tahoma"/>
          <w:b/>
          <w:bCs/>
          <w:color w:val="010000"/>
          <w:sz w:val="14"/>
          <w:szCs w:val="14"/>
          <w:lang w:eastAsia="es-ES"/>
        </w:rPr>
        <w:lastRenderedPageBreak/>
        <w:t>Resuelve:</w:t>
      </w:r>
      <w:r w:rsidRPr="008906D3">
        <w:rPr>
          <w:rFonts w:ascii="Tahoma" w:eastAsia="Times New Roman" w:hAnsi="Tahoma" w:cs="Tahoma"/>
          <w:b/>
          <w:bCs/>
          <w:color w:val="010000"/>
          <w:sz w:val="14"/>
          <w:szCs w:val="14"/>
          <w:lang w:eastAsia="es-ES"/>
        </w:rPr>
        <w:t> </w:t>
      </w:r>
      <w:r w:rsidRPr="006F12D1">
        <w:rPr>
          <w:rFonts w:ascii="Tahoma" w:eastAsia="Times New Roman" w:hAnsi="Tahoma" w:cs="Tahoma"/>
          <w:b/>
          <w:bCs/>
          <w:color w:val="010000"/>
          <w:sz w:val="14"/>
          <w:szCs w:val="14"/>
          <w:lang w:eastAsia="es-ES"/>
        </w:rPr>
        <w:br/>
      </w:r>
    </w:p>
    <w:p w:rsidR="006F12D1" w:rsidRPr="006F12D1" w:rsidRDefault="006F12D1" w:rsidP="002F4C81">
      <w:pPr>
        <w:shd w:val="clear" w:color="auto" w:fill="FFFFFF"/>
        <w:spacing w:after="0" w:line="240" w:lineRule="auto"/>
        <w:ind w:left="708"/>
        <w:jc w:val="center"/>
        <w:rPr>
          <w:rFonts w:ascii="Tahoma" w:eastAsia="Times New Roman" w:hAnsi="Tahoma" w:cs="Tahoma"/>
          <w:color w:val="010000"/>
          <w:sz w:val="14"/>
          <w:szCs w:val="14"/>
          <w:lang w:eastAsia="es-ES"/>
        </w:rPr>
      </w:pPr>
    </w:p>
    <w:p w:rsidR="00135D5F" w:rsidRDefault="006F12D1"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b/>
          <w:bCs/>
          <w:color w:val="010000"/>
          <w:sz w:val="14"/>
          <w:szCs w:val="14"/>
          <w:shd w:val="clear" w:color="auto" w:fill="FFFFFF"/>
          <w:lang w:eastAsia="es-ES"/>
        </w:rPr>
        <w:t>ARTÍCULO ÚNICO.- </w:t>
      </w:r>
      <w:r w:rsidRPr="008906D3">
        <w:rPr>
          <w:rFonts w:ascii="Tahoma" w:eastAsia="Times New Roman" w:hAnsi="Tahoma" w:cs="Tahoma"/>
          <w:color w:val="010000"/>
          <w:sz w:val="14"/>
          <w:szCs w:val="14"/>
          <w:shd w:val="clear" w:color="auto" w:fill="FFFFFF"/>
          <w:lang w:eastAsia="es-ES"/>
        </w:rPr>
        <w:t>Autorizar al Banco del Instituto Ecuatoriano de Seguridad Social, como actividad adicional a las determinadas en el artículo 4 de la Ley del Banco del Instituto Ecuatoriano de Seguridad Social, la operación de financiamiento para la prevención de mora patronal, con el fin de precautelar el derecho de los afiliados a percibir servicios financieros, de acuerdo con las condiciones aprobadas por el Directorio de dicha entidad financiera pública, previa autorización de la Superintendencia de Bancos.</w:t>
      </w:r>
    </w:p>
    <w:p w:rsidR="00135D5F" w:rsidRDefault="006F12D1"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lang w:eastAsia="es-ES"/>
        </w:rPr>
        <w:br/>
      </w:r>
      <w:r w:rsidRPr="008906D3">
        <w:rPr>
          <w:rFonts w:ascii="Tahoma" w:eastAsia="Times New Roman" w:hAnsi="Tahoma" w:cs="Tahoma"/>
          <w:b/>
          <w:bCs/>
          <w:color w:val="010000"/>
          <w:sz w:val="14"/>
          <w:szCs w:val="14"/>
          <w:shd w:val="clear" w:color="auto" w:fill="FFFFFF"/>
          <w:lang w:eastAsia="es-ES"/>
        </w:rPr>
        <w:t>DISPOSICIÓN GENERAL.- </w:t>
      </w:r>
      <w:r w:rsidRPr="008906D3">
        <w:rPr>
          <w:rFonts w:ascii="Tahoma" w:eastAsia="Times New Roman" w:hAnsi="Tahoma" w:cs="Tahoma"/>
          <w:color w:val="010000"/>
          <w:sz w:val="14"/>
          <w:szCs w:val="14"/>
          <w:shd w:val="clear" w:color="auto" w:fill="FFFFFF"/>
          <w:lang w:eastAsia="es-ES"/>
        </w:rPr>
        <w:t>De la ejecución de la presente resolución encárguese al Banco del Instituto Ecuatoriano de Seguridad Social y la Superintendencia de Bancos.</w:t>
      </w:r>
    </w:p>
    <w:p w:rsidR="00135D5F" w:rsidRDefault="006F12D1"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lang w:eastAsia="es-ES"/>
        </w:rPr>
        <w:br/>
      </w:r>
      <w:r w:rsidRPr="008906D3">
        <w:rPr>
          <w:rFonts w:ascii="Tahoma" w:eastAsia="Times New Roman" w:hAnsi="Tahoma" w:cs="Tahoma"/>
          <w:b/>
          <w:bCs/>
          <w:color w:val="010000"/>
          <w:sz w:val="14"/>
          <w:szCs w:val="14"/>
          <w:shd w:val="clear" w:color="auto" w:fill="FFFFFF"/>
          <w:lang w:eastAsia="es-ES"/>
        </w:rPr>
        <w:t>DISPOSICIÓN FINAL.- </w:t>
      </w:r>
      <w:r w:rsidRPr="008906D3">
        <w:rPr>
          <w:rFonts w:ascii="Tahoma" w:eastAsia="Times New Roman" w:hAnsi="Tahoma" w:cs="Tahoma"/>
          <w:color w:val="010000"/>
          <w:sz w:val="14"/>
          <w:szCs w:val="14"/>
          <w:shd w:val="clear" w:color="auto" w:fill="FFFFFF"/>
          <w:lang w:eastAsia="es-ES"/>
        </w:rPr>
        <w:t>Esta resolución entrará en vigencia a partir de la presente fecha, sin perjuicio de su publicación en el Registro Oficial.</w:t>
      </w:r>
    </w:p>
    <w:p w:rsidR="006F12D1" w:rsidRDefault="006F12D1"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lang w:eastAsia="es-ES"/>
        </w:rPr>
        <w:br/>
      </w:r>
      <w:r w:rsidRPr="008906D3">
        <w:rPr>
          <w:rFonts w:ascii="Tahoma" w:eastAsia="Times New Roman" w:hAnsi="Tahoma" w:cs="Tahoma"/>
          <w:b/>
          <w:bCs/>
          <w:color w:val="010000"/>
          <w:sz w:val="14"/>
          <w:szCs w:val="14"/>
          <w:shd w:val="clear" w:color="auto" w:fill="FFFFFF"/>
          <w:lang w:eastAsia="es-ES"/>
        </w:rPr>
        <w:t>COMUNÍQUESE.- </w:t>
      </w:r>
      <w:r w:rsidRPr="008906D3">
        <w:rPr>
          <w:rFonts w:ascii="Tahoma" w:eastAsia="Times New Roman" w:hAnsi="Tahoma" w:cs="Tahoma"/>
          <w:color w:val="010000"/>
          <w:sz w:val="14"/>
          <w:szCs w:val="14"/>
          <w:shd w:val="clear" w:color="auto" w:fill="FFFFFF"/>
          <w:lang w:eastAsia="es-ES"/>
        </w:rPr>
        <w:t>Dada en el Distrito Metropolitano de Quito, el 6 de enero de 2016.</w:t>
      </w:r>
    </w:p>
    <w:p w:rsidR="00135D5F" w:rsidRDefault="00135D5F" w:rsidP="008906D3">
      <w:pPr>
        <w:shd w:val="clear" w:color="auto" w:fill="FFFFFF"/>
        <w:spacing w:after="0" w:line="240" w:lineRule="auto"/>
        <w:jc w:val="center"/>
        <w:rPr>
          <w:rFonts w:ascii="Tahoma" w:hAnsi="Tahoma" w:cs="Tahoma"/>
          <w:color w:val="000000"/>
          <w:sz w:val="14"/>
          <w:szCs w:val="14"/>
        </w:rPr>
        <w:sectPr w:rsidR="00135D5F" w:rsidSect="00135D5F">
          <w:type w:val="continuous"/>
          <w:pgSz w:w="11906" w:h="16838"/>
          <w:pgMar w:top="1417" w:right="849" w:bottom="993" w:left="1276" w:header="708" w:footer="708" w:gutter="0"/>
          <w:cols w:space="282"/>
          <w:docGrid w:linePitch="360"/>
        </w:sectPr>
      </w:pPr>
    </w:p>
    <w:p w:rsidR="00135D5F" w:rsidRDefault="00135D5F" w:rsidP="008906D3">
      <w:pPr>
        <w:shd w:val="clear" w:color="auto" w:fill="FFFFFF"/>
        <w:spacing w:after="0" w:line="240" w:lineRule="auto"/>
        <w:jc w:val="center"/>
        <w:rPr>
          <w:rFonts w:ascii="Tahoma" w:hAnsi="Tahoma" w:cs="Tahoma"/>
          <w:color w:val="000000"/>
          <w:sz w:val="14"/>
          <w:szCs w:val="14"/>
        </w:rPr>
      </w:pPr>
    </w:p>
    <w:p w:rsidR="002F4C81" w:rsidRPr="008906D3" w:rsidRDefault="002F4C81" w:rsidP="008906D3">
      <w:pPr>
        <w:shd w:val="clear" w:color="auto" w:fill="FFFFFF"/>
        <w:spacing w:after="0" w:line="240" w:lineRule="auto"/>
        <w:jc w:val="center"/>
        <w:rPr>
          <w:rFonts w:ascii="Tahoma" w:hAnsi="Tahoma" w:cs="Tahoma"/>
          <w:color w:val="000000"/>
          <w:sz w:val="14"/>
          <w:szCs w:val="14"/>
        </w:rPr>
      </w:pPr>
    </w:p>
    <w:p w:rsidR="006F12D1" w:rsidRPr="00135D5F" w:rsidRDefault="00135D5F" w:rsidP="00135D5F">
      <w:pPr>
        <w:pStyle w:val="Prrafodelista"/>
        <w:numPr>
          <w:ilvl w:val="0"/>
          <w:numId w:val="15"/>
        </w:numPr>
        <w:shd w:val="clear" w:color="auto" w:fill="FFFFFF"/>
        <w:spacing w:after="0" w:line="240" w:lineRule="auto"/>
        <w:jc w:val="both"/>
        <w:rPr>
          <w:sz w:val="18"/>
          <w:szCs w:val="18"/>
        </w:rPr>
      </w:pPr>
      <w:r>
        <w:rPr>
          <w:rFonts w:ascii="Tahoma" w:hAnsi="Tahoma" w:cs="Tahoma"/>
          <w:b/>
          <w:color w:val="0070C0"/>
          <w:sz w:val="18"/>
          <w:szCs w:val="18"/>
        </w:rPr>
        <w:t xml:space="preserve">Resolución </w:t>
      </w:r>
      <w:hyperlink r:id="rId20" w:history="1">
        <w:r w:rsidR="006F12D1" w:rsidRPr="00135D5F">
          <w:rPr>
            <w:rFonts w:ascii="Tahoma" w:hAnsi="Tahoma" w:cs="Tahoma"/>
            <w:b/>
            <w:color w:val="0070C0"/>
            <w:sz w:val="18"/>
            <w:szCs w:val="18"/>
          </w:rPr>
          <w:t>203-2016-F</w:t>
        </w:r>
      </w:hyperlink>
      <w:r w:rsidR="006F12D1" w:rsidRPr="00135D5F">
        <w:rPr>
          <w:rFonts w:ascii="Tahoma" w:hAnsi="Tahoma" w:cs="Tahoma"/>
          <w:b/>
          <w:color w:val="0070C0"/>
          <w:sz w:val="18"/>
          <w:szCs w:val="18"/>
        </w:rPr>
        <w:t>:</w:t>
      </w:r>
      <w:r w:rsidR="006F12D1" w:rsidRPr="00135D5F">
        <w:rPr>
          <w:b/>
          <w:color w:val="0070C0"/>
          <w:sz w:val="18"/>
          <w:szCs w:val="18"/>
        </w:rPr>
        <w:t xml:space="preserve"> </w:t>
      </w:r>
      <w:r w:rsidR="006F12D1" w:rsidRPr="00135D5F">
        <w:rPr>
          <w:rFonts w:ascii="Tahoma" w:hAnsi="Tahoma" w:cs="Tahoma"/>
          <w:sz w:val="18"/>
          <w:szCs w:val="18"/>
        </w:rPr>
        <w:t>Refórmese las normas generales para el funcionamiento del fondo de liquidez del sector financiero privado y del sector financiero popular y solidario</w:t>
      </w:r>
    </w:p>
    <w:p w:rsidR="007915B4" w:rsidRPr="008906D3" w:rsidRDefault="007915B4" w:rsidP="008906D3">
      <w:pPr>
        <w:shd w:val="clear" w:color="auto" w:fill="FFFFFF"/>
        <w:spacing w:after="0" w:line="240" w:lineRule="auto"/>
        <w:jc w:val="center"/>
        <w:rPr>
          <w:rFonts w:ascii="Tahoma" w:eastAsia="Times New Roman" w:hAnsi="Tahoma" w:cs="Tahoma"/>
          <w:b/>
          <w:bCs/>
          <w:color w:val="000000"/>
          <w:sz w:val="14"/>
          <w:szCs w:val="14"/>
          <w:lang w:eastAsia="es-ES"/>
        </w:rPr>
      </w:pPr>
    </w:p>
    <w:p w:rsidR="00135D5F" w:rsidRDefault="004E5E30" w:rsidP="002F4C81">
      <w:pPr>
        <w:shd w:val="clear" w:color="auto" w:fill="FFFFFF"/>
        <w:spacing w:after="0" w:line="240" w:lineRule="auto"/>
        <w:ind w:left="708"/>
        <w:jc w:val="center"/>
        <w:rPr>
          <w:rFonts w:ascii="Tahoma" w:eastAsia="Times New Roman" w:hAnsi="Tahoma" w:cs="Tahoma"/>
          <w:b/>
          <w:bCs/>
          <w:color w:val="010000"/>
          <w:sz w:val="14"/>
          <w:szCs w:val="14"/>
          <w:lang w:eastAsia="es-ES"/>
        </w:rPr>
      </w:pPr>
      <w:r w:rsidRPr="004E5E30">
        <w:rPr>
          <w:rFonts w:ascii="Tahoma" w:eastAsia="Times New Roman" w:hAnsi="Tahoma" w:cs="Tahoma"/>
          <w:b/>
          <w:bCs/>
          <w:color w:val="010000"/>
          <w:sz w:val="14"/>
          <w:szCs w:val="14"/>
          <w:lang w:eastAsia="es-ES"/>
        </w:rPr>
        <w:t>Resuelve:</w:t>
      </w:r>
    </w:p>
    <w:p w:rsidR="00135D5F" w:rsidRDefault="004E5E30"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4E5E30">
        <w:rPr>
          <w:rFonts w:ascii="Tahoma" w:eastAsia="Times New Roman" w:hAnsi="Tahoma" w:cs="Tahoma"/>
          <w:color w:val="010000"/>
          <w:sz w:val="14"/>
          <w:szCs w:val="14"/>
          <w:lang w:eastAsia="es-ES"/>
        </w:rPr>
        <w:br/>
      </w:r>
      <w:r w:rsidRPr="008906D3">
        <w:rPr>
          <w:rFonts w:ascii="Tahoma" w:eastAsia="Times New Roman" w:hAnsi="Tahoma" w:cs="Tahoma"/>
          <w:b/>
          <w:bCs/>
          <w:color w:val="010000"/>
          <w:sz w:val="14"/>
          <w:szCs w:val="14"/>
          <w:shd w:val="clear" w:color="auto" w:fill="FFFFFF"/>
          <w:lang w:eastAsia="es-ES"/>
        </w:rPr>
        <w:t>ARTÍCULO 1.- </w:t>
      </w:r>
      <w:r w:rsidRPr="008906D3">
        <w:rPr>
          <w:rFonts w:ascii="Tahoma" w:eastAsia="Times New Roman" w:hAnsi="Tahoma" w:cs="Tahoma"/>
          <w:color w:val="010000"/>
          <w:sz w:val="14"/>
          <w:szCs w:val="14"/>
          <w:shd w:val="clear" w:color="auto" w:fill="FFFFFF"/>
          <w:lang w:eastAsia="es-ES"/>
        </w:rPr>
        <w:t>En el artículo 10 de la resolución No. 176-2015-F de 29 de diciembre de 2015, literal a) modificar "8%" por "5%" y sustitúyase el literal b) por el siguiente:</w:t>
      </w:r>
    </w:p>
    <w:p w:rsidR="00135D5F" w:rsidRDefault="004E5E30" w:rsidP="002F4C81">
      <w:pPr>
        <w:shd w:val="clear" w:color="auto" w:fill="FFFFFF"/>
        <w:spacing w:after="0" w:line="240" w:lineRule="auto"/>
        <w:ind w:left="708"/>
        <w:jc w:val="both"/>
        <w:rPr>
          <w:rFonts w:ascii="Tahoma" w:eastAsia="Times New Roman" w:hAnsi="Tahoma" w:cs="Tahoma"/>
          <w:i/>
          <w:iCs/>
          <w:color w:val="010000"/>
          <w:sz w:val="14"/>
          <w:szCs w:val="14"/>
          <w:shd w:val="clear" w:color="auto" w:fill="FFFFFF"/>
          <w:lang w:eastAsia="es-ES"/>
        </w:rPr>
      </w:pPr>
      <w:r w:rsidRPr="008906D3">
        <w:rPr>
          <w:rFonts w:ascii="Tahoma" w:eastAsia="Times New Roman" w:hAnsi="Tahoma" w:cs="Tahoma"/>
          <w:color w:val="010000"/>
          <w:sz w:val="14"/>
          <w:szCs w:val="14"/>
          <w:lang w:eastAsia="es-ES"/>
        </w:rPr>
        <w:br/>
      </w:r>
      <w:r w:rsidRPr="008906D3">
        <w:rPr>
          <w:rFonts w:ascii="Tahoma" w:eastAsia="Times New Roman" w:hAnsi="Tahoma" w:cs="Tahoma"/>
          <w:i/>
          <w:iCs/>
          <w:color w:val="010000"/>
          <w:sz w:val="14"/>
          <w:szCs w:val="14"/>
          <w:shd w:val="clear" w:color="auto" w:fill="FFFFFF"/>
          <w:lang w:eastAsia="es-ES"/>
        </w:rPr>
        <w:t>"b) Las Cooperativas de Ahorro y Crédito pertenecientes al segmento 1 y las cajas centrales, en los términos contemplados en el Código Orgánico Monetario y Financiero, harán un aporte mensual al fideicomiso que será igual a una suma equivalente al 0,5% del promedio de sus obligaciones con el público del mes inmediato anterior.</w:t>
      </w:r>
    </w:p>
    <w:p w:rsidR="00135D5F" w:rsidRDefault="004E5E30" w:rsidP="002F4C81">
      <w:pPr>
        <w:shd w:val="clear" w:color="auto" w:fill="FFFFFF"/>
        <w:spacing w:after="0" w:line="240" w:lineRule="auto"/>
        <w:ind w:left="708"/>
        <w:jc w:val="both"/>
        <w:rPr>
          <w:rFonts w:ascii="Tahoma" w:eastAsia="Times New Roman" w:hAnsi="Tahoma" w:cs="Tahoma"/>
          <w:i/>
          <w:iCs/>
          <w:color w:val="010000"/>
          <w:sz w:val="14"/>
          <w:szCs w:val="14"/>
          <w:shd w:val="clear" w:color="auto" w:fill="FFFFFF"/>
          <w:lang w:eastAsia="es-ES"/>
        </w:rPr>
      </w:pPr>
      <w:r w:rsidRPr="002F4C81">
        <w:rPr>
          <w:rFonts w:ascii="Tahoma" w:eastAsia="Times New Roman" w:hAnsi="Tahoma" w:cs="Tahoma"/>
          <w:color w:val="010000"/>
          <w:sz w:val="10"/>
          <w:szCs w:val="14"/>
          <w:lang w:eastAsia="es-ES"/>
        </w:rPr>
        <w:br/>
      </w:r>
      <w:r w:rsidRPr="008906D3">
        <w:rPr>
          <w:rFonts w:ascii="Tahoma" w:eastAsia="Times New Roman" w:hAnsi="Tahoma" w:cs="Tahoma"/>
          <w:i/>
          <w:iCs/>
          <w:color w:val="010000"/>
          <w:sz w:val="14"/>
          <w:szCs w:val="14"/>
          <w:shd w:val="clear" w:color="auto" w:fill="FFFFFF"/>
          <w:lang w:eastAsia="es-ES"/>
        </w:rPr>
        <w:t>Los aportes mensuales referidos en el inciso anterior, se incrementarán en 0,5% en el mes de enero de cada año, hasta alcanzar la meta del 7,5% de sus obligaciones con el público. Estos aportes se ajustarán en forma mensual".</w:t>
      </w:r>
    </w:p>
    <w:p w:rsidR="00135D5F" w:rsidRDefault="004E5E30"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lang w:eastAsia="es-ES"/>
        </w:rPr>
        <w:br/>
      </w:r>
      <w:r w:rsidRPr="008906D3">
        <w:rPr>
          <w:rFonts w:ascii="Tahoma" w:eastAsia="Times New Roman" w:hAnsi="Tahoma" w:cs="Tahoma"/>
          <w:b/>
          <w:bCs/>
          <w:color w:val="010000"/>
          <w:sz w:val="14"/>
          <w:szCs w:val="14"/>
          <w:shd w:val="clear" w:color="auto" w:fill="FFFFFF"/>
          <w:lang w:eastAsia="es-ES"/>
        </w:rPr>
        <w:t>ARTÍCULO 2.- </w:t>
      </w:r>
      <w:r w:rsidRPr="008906D3">
        <w:rPr>
          <w:rFonts w:ascii="Tahoma" w:eastAsia="Times New Roman" w:hAnsi="Tahoma" w:cs="Tahoma"/>
          <w:color w:val="010000"/>
          <w:sz w:val="14"/>
          <w:szCs w:val="14"/>
          <w:shd w:val="clear" w:color="auto" w:fill="FFFFFF"/>
          <w:lang w:eastAsia="es-ES"/>
        </w:rPr>
        <w:t>Incorpórese como Disposición Transitoria Novena, la siguiente:</w:t>
      </w:r>
    </w:p>
    <w:p w:rsidR="00135D5F" w:rsidRDefault="004E5E30"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8906D3">
        <w:rPr>
          <w:rFonts w:ascii="Tahoma" w:eastAsia="Times New Roman" w:hAnsi="Tahoma" w:cs="Tahoma"/>
          <w:color w:val="010000"/>
          <w:sz w:val="14"/>
          <w:szCs w:val="14"/>
          <w:lang w:eastAsia="es-ES"/>
        </w:rPr>
        <w:br/>
      </w:r>
      <w:r w:rsidRPr="008906D3">
        <w:rPr>
          <w:rFonts w:ascii="Tahoma" w:eastAsia="Times New Roman" w:hAnsi="Tahoma" w:cs="Tahoma"/>
          <w:b/>
          <w:bCs/>
          <w:color w:val="010000"/>
          <w:sz w:val="14"/>
          <w:szCs w:val="14"/>
          <w:shd w:val="clear" w:color="auto" w:fill="FFFFFF"/>
          <w:lang w:eastAsia="es-ES"/>
        </w:rPr>
        <w:t>"NOVENA.- </w:t>
      </w:r>
      <w:r w:rsidRPr="008906D3">
        <w:rPr>
          <w:rFonts w:ascii="Tahoma" w:eastAsia="Times New Roman" w:hAnsi="Tahoma" w:cs="Tahoma"/>
          <w:color w:val="010000"/>
          <w:sz w:val="14"/>
          <w:szCs w:val="14"/>
          <w:shd w:val="clear" w:color="auto" w:fill="FFFFFF"/>
          <w:lang w:eastAsia="es-ES"/>
        </w:rPr>
        <w:t>La obligación de pago del aporte establecido en el literal b) del artículo 10, regirá a partir de la fecha en que se constituya el Fideicomiso del Fondo de Liquidez de las entidades del Sector Financiero Popular y Solidario".</w:t>
      </w:r>
    </w:p>
    <w:p w:rsidR="00135D5F" w:rsidRDefault="004E5E30"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2F4C81">
        <w:rPr>
          <w:rFonts w:ascii="Tahoma" w:eastAsia="Times New Roman" w:hAnsi="Tahoma" w:cs="Tahoma"/>
          <w:color w:val="010000"/>
          <w:sz w:val="10"/>
          <w:szCs w:val="14"/>
          <w:lang w:eastAsia="es-ES"/>
        </w:rPr>
        <w:br/>
      </w:r>
      <w:r w:rsidRPr="008906D3">
        <w:rPr>
          <w:rFonts w:ascii="Tahoma" w:eastAsia="Times New Roman" w:hAnsi="Tahoma" w:cs="Tahoma"/>
          <w:b/>
          <w:bCs/>
          <w:color w:val="010000"/>
          <w:sz w:val="14"/>
          <w:szCs w:val="14"/>
          <w:shd w:val="clear" w:color="auto" w:fill="FFFFFF"/>
          <w:lang w:eastAsia="es-ES"/>
        </w:rPr>
        <w:t>ARTÍCULO 3.- </w:t>
      </w:r>
      <w:r w:rsidRPr="008906D3">
        <w:rPr>
          <w:rFonts w:ascii="Tahoma" w:eastAsia="Times New Roman" w:hAnsi="Tahoma" w:cs="Tahoma"/>
          <w:color w:val="010000"/>
          <w:sz w:val="14"/>
          <w:szCs w:val="14"/>
          <w:shd w:val="clear" w:color="auto" w:fill="FFFFFF"/>
          <w:lang w:eastAsia="es-ES"/>
        </w:rPr>
        <w:t>Incorpórese como Disposición Transitoria Décima la siguiente:</w:t>
      </w:r>
    </w:p>
    <w:p w:rsidR="00135D5F" w:rsidRDefault="004E5E30"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2F4C81">
        <w:rPr>
          <w:rFonts w:ascii="Tahoma" w:eastAsia="Times New Roman" w:hAnsi="Tahoma" w:cs="Tahoma"/>
          <w:color w:val="010000"/>
          <w:sz w:val="10"/>
          <w:szCs w:val="14"/>
          <w:lang w:eastAsia="es-ES"/>
        </w:rPr>
        <w:br/>
      </w:r>
      <w:r w:rsidRPr="008906D3">
        <w:rPr>
          <w:rFonts w:ascii="Tahoma" w:eastAsia="Times New Roman" w:hAnsi="Tahoma" w:cs="Tahoma"/>
          <w:b/>
          <w:bCs/>
          <w:color w:val="010000"/>
          <w:sz w:val="14"/>
          <w:szCs w:val="14"/>
          <w:shd w:val="clear" w:color="auto" w:fill="FFFFFF"/>
          <w:lang w:eastAsia="es-ES"/>
        </w:rPr>
        <w:t>"DÉCIMA.- </w:t>
      </w:r>
      <w:r w:rsidRPr="008906D3">
        <w:rPr>
          <w:rFonts w:ascii="Tahoma" w:eastAsia="Times New Roman" w:hAnsi="Tahoma" w:cs="Tahoma"/>
          <w:color w:val="010000"/>
          <w:sz w:val="14"/>
          <w:szCs w:val="14"/>
          <w:shd w:val="clear" w:color="auto" w:fill="FFFFFF"/>
          <w:lang w:eastAsia="es-ES"/>
        </w:rPr>
        <w:t>El aporte mensual que las Asociaciones Mutualistas de Ahorro y Crédito para la Vivienda deben realizar al Fondo de Liquidez, establecido en la presente norma, se mantendrá hasta la implementación de la Disposición Transitoria Vigésima Novena del Código Orgánico Monetario y Financiero y la consecuente sujeción al control de la Superintendencia de Economía Popular y Solidaria momento en el cual la Junta de Política y Regulación Monetaria y Financiera determinará el porcentaje del aporte que deben realizar las Asociaciones Mutualistas de Ahorro y Crédito para la Vivienda".</w:t>
      </w:r>
    </w:p>
    <w:p w:rsidR="00135D5F" w:rsidRDefault="004E5E30" w:rsidP="002F4C81">
      <w:pPr>
        <w:shd w:val="clear" w:color="auto" w:fill="FFFFFF"/>
        <w:spacing w:after="0" w:line="240" w:lineRule="auto"/>
        <w:ind w:left="708"/>
        <w:jc w:val="both"/>
        <w:rPr>
          <w:rFonts w:ascii="Tahoma" w:eastAsia="Times New Roman" w:hAnsi="Tahoma" w:cs="Tahoma"/>
          <w:color w:val="010000"/>
          <w:sz w:val="14"/>
          <w:szCs w:val="14"/>
          <w:shd w:val="clear" w:color="auto" w:fill="FFFFFF"/>
          <w:lang w:eastAsia="es-ES"/>
        </w:rPr>
      </w:pPr>
      <w:r w:rsidRPr="002F4C81">
        <w:rPr>
          <w:rFonts w:ascii="Tahoma" w:eastAsia="Times New Roman" w:hAnsi="Tahoma" w:cs="Tahoma"/>
          <w:color w:val="010000"/>
          <w:sz w:val="10"/>
          <w:szCs w:val="14"/>
          <w:lang w:eastAsia="es-ES"/>
        </w:rPr>
        <w:br/>
      </w:r>
      <w:r w:rsidRPr="008906D3">
        <w:rPr>
          <w:rFonts w:ascii="Tahoma" w:eastAsia="Times New Roman" w:hAnsi="Tahoma" w:cs="Tahoma"/>
          <w:b/>
          <w:bCs/>
          <w:color w:val="010000"/>
          <w:sz w:val="14"/>
          <w:szCs w:val="14"/>
          <w:shd w:val="clear" w:color="auto" w:fill="FFFFFF"/>
          <w:lang w:eastAsia="es-ES"/>
        </w:rPr>
        <w:t>DISPOSICIÓN FINAL.- </w:t>
      </w:r>
      <w:r w:rsidRPr="008906D3">
        <w:rPr>
          <w:rFonts w:ascii="Tahoma" w:eastAsia="Times New Roman" w:hAnsi="Tahoma" w:cs="Tahoma"/>
          <w:color w:val="010000"/>
          <w:sz w:val="14"/>
          <w:szCs w:val="14"/>
          <w:shd w:val="clear" w:color="auto" w:fill="FFFFFF"/>
          <w:lang w:eastAsia="es-ES"/>
        </w:rPr>
        <w:t>Esta resolución entrará en vigencia a partir de la presente fecha, sin perjuicio de su publicación en el Registro Oficial.</w:t>
      </w:r>
    </w:p>
    <w:p w:rsidR="006F12D1" w:rsidRDefault="004E5E30" w:rsidP="002F4C81">
      <w:pPr>
        <w:shd w:val="clear" w:color="auto" w:fill="FFFFFF"/>
        <w:spacing w:after="0" w:line="240" w:lineRule="auto"/>
        <w:ind w:left="708"/>
        <w:jc w:val="both"/>
        <w:rPr>
          <w:rFonts w:ascii="Tahoma" w:eastAsia="Times New Roman" w:hAnsi="Tahoma" w:cs="Tahoma"/>
          <w:b/>
          <w:bCs/>
          <w:color w:val="000000"/>
          <w:sz w:val="14"/>
          <w:szCs w:val="14"/>
          <w:lang w:eastAsia="es-ES"/>
        </w:rPr>
      </w:pPr>
      <w:r w:rsidRPr="002F4C81">
        <w:rPr>
          <w:rFonts w:ascii="Tahoma" w:eastAsia="Times New Roman" w:hAnsi="Tahoma" w:cs="Tahoma"/>
          <w:color w:val="010000"/>
          <w:sz w:val="8"/>
          <w:szCs w:val="14"/>
          <w:lang w:eastAsia="es-ES"/>
        </w:rPr>
        <w:br/>
      </w:r>
      <w:r w:rsidRPr="008906D3">
        <w:rPr>
          <w:rFonts w:ascii="Tahoma" w:eastAsia="Times New Roman" w:hAnsi="Tahoma" w:cs="Tahoma"/>
          <w:b/>
          <w:bCs/>
          <w:color w:val="010000"/>
          <w:sz w:val="14"/>
          <w:szCs w:val="14"/>
          <w:shd w:val="clear" w:color="auto" w:fill="FFFFFF"/>
          <w:lang w:eastAsia="es-ES"/>
        </w:rPr>
        <w:t>COMUNÍQUESE.- </w:t>
      </w:r>
      <w:r w:rsidRPr="008906D3">
        <w:rPr>
          <w:rFonts w:ascii="Tahoma" w:eastAsia="Times New Roman" w:hAnsi="Tahoma" w:cs="Tahoma"/>
          <w:color w:val="010000"/>
          <w:sz w:val="14"/>
          <w:szCs w:val="14"/>
          <w:shd w:val="clear" w:color="auto" w:fill="FFFFFF"/>
          <w:lang w:eastAsia="es-ES"/>
        </w:rPr>
        <w:t>Dada en el Distrito Metropolitano de Quito, el 30 de enero de 2016.</w:t>
      </w:r>
    </w:p>
    <w:sectPr w:rsidR="006F12D1" w:rsidSect="002F4C81">
      <w:type w:val="continuous"/>
      <w:pgSz w:w="11906" w:h="16838"/>
      <w:pgMar w:top="1417" w:right="849" w:bottom="993" w:left="1276" w:header="708" w:footer="708" w:gutter="0"/>
      <w:cols w:space="282"/>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3F48" w:rsidRDefault="00953F48" w:rsidP="00FA7C89">
      <w:pPr>
        <w:spacing w:after="0" w:line="240" w:lineRule="auto"/>
      </w:pPr>
      <w:r>
        <w:separator/>
      </w:r>
    </w:p>
  </w:endnote>
  <w:endnote w:type="continuationSeparator" w:id="0">
    <w:p w:rsidR="00953F48" w:rsidRDefault="00953F48"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A1D" w:rsidRDefault="00240A1D" w:rsidP="00240A1D">
    <w:pPr>
      <w:pStyle w:val="Piedepgina"/>
    </w:pPr>
    <w:r>
      <w:rPr>
        <w:noProof/>
        <w:lang w:val="es-EC" w:eastAsia="es-EC"/>
      </w:rPr>
      <mc:AlternateContent>
        <mc:Choice Requires="wps">
          <w:drawing>
            <wp:anchor distT="0" distB="0" distL="114300" distR="114300" simplePos="0" relativeHeight="251667456" behindDoc="0" locked="0" layoutInCell="0" allowOverlap="1" wp14:anchorId="484034FC" wp14:editId="623D8C40">
              <wp:simplePos x="0" y="0"/>
              <wp:positionH relativeFrom="rightMargin">
                <wp:align>center</wp:align>
              </wp:positionH>
              <wp:positionV relativeFrom="margin">
                <wp:align>bottom</wp:align>
              </wp:positionV>
              <wp:extent cx="511175" cy="6172200"/>
              <wp:effectExtent l="0" t="0" r="0" b="0"/>
              <wp:wrapNone/>
              <wp:docPr id="31"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601412218"/>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240A1D" w:rsidRPr="00A75150" w:rsidRDefault="00240A1D" w:rsidP="00240A1D">
                              <w:pPr>
                                <w:rPr>
                                  <w:color w:val="0070C0"/>
                                  <w:spacing w:val="60"/>
                                </w:rPr>
                              </w:pPr>
                              <w:proofErr w:type="spellStart"/>
                              <w:r>
                                <w:rPr>
                                  <w:color w:val="0070C0"/>
                                  <w:spacing w:val="60"/>
                                  <w:lang w:val="en-US"/>
                                </w:rPr>
                                <w:t>Soluciones</w:t>
                              </w:r>
                              <w:proofErr w:type="spellEnd"/>
                              <w:r>
                                <w:rPr>
                                  <w:color w:val="0070C0"/>
                                  <w:spacing w:val="60"/>
                                  <w:lang w:val="en-US"/>
                                </w:rPr>
                                <w:t xml:space="preserve"> </w:t>
                              </w:r>
                              <w:proofErr w:type="spellStart"/>
                              <w:r>
                                <w:rPr>
                                  <w:color w:val="0070C0"/>
                                  <w:spacing w:val="60"/>
                                  <w:lang w:val="en-US"/>
                                </w:rPr>
                                <w:t>Contables</w:t>
                              </w:r>
                              <w:proofErr w:type="spellEnd"/>
                              <w:r>
                                <w:rPr>
                                  <w:color w:val="0070C0"/>
                                  <w:spacing w:val="60"/>
                                  <w:lang w:val="en-US"/>
                                </w:rPr>
                                <w:t xml:space="preserve"> y </w:t>
                              </w:r>
                              <w:proofErr w:type="spellStart"/>
                              <w:r>
                                <w:rPr>
                                  <w:color w:val="0070C0"/>
                                  <w:spacing w:val="60"/>
                                  <w:lang w:val="en-US"/>
                                </w:rPr>
                                <w:t>Tributarias</w:t>
                              </w:r>
                              <w:proofErr w:type="spellEnd"/>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8" style="position:absolute;margin-left:0;margin-top:0;width:40.25pt;height:486pt;z-index:251667456;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WUxne+ACAAA7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601412218"/>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240A1D" w:rsidRPr="00A75150" w:rsidRDefault="00240A1D" w:rsidP="00240A1D">
                        <w:pPr>
                          <w:rPr>
                            <w:color w:val="0070C0"/>
                            <w:spacing w:val="60"/>
                          </w:rPr>
                        </w:pPr>
                        <w:proofErr w:type="spellStart"/>
                        <w:r>
                          <w:rPr>
                            <w:color w:val="0070C0"/>
                            <w:spacing w:val="60"/>
                            <w:lang w:val="en-US"/>
                          </w:rPr>
                          <w:t>Soluciones</w:t>
                        </w:r>
                        <w:proofErr w:type="spellEnd"/>
                        <w:r>
                          <w:rPr>
                            <w:color w:val="0070C0"/>
                            <w:spacing w:val="60"/>
                            <w:lang w:val="en-US"/>
                          </w:rPr>
                          <w:t xml:space="preserve"> </w:t>
                        </w:r>
                        <w:proofErr w:type="spellStart"/>
                        <w:r>
                          <w:rPr>
                            <w:color w:val="0070C0"/>
                            <w:spacing w:val="60"/>
                            <w:lang w:val="en-US"/>
                          </w:rPr>
                          <w:t>Contables</w:t>
                        </w:r>
                        <w:proofErr w:type="spellEnd"/>
                        <w:r>
                          <w:rPr>
                            <w:color w:val="0070C0"/>
                            <w:spacing w:val="60"/>
                            <w:lang w:val="en-US"/>
                          </w:rPr>
                          <w:t xml:space="preserve"> y </w:t>
                        </w:r>
                        <w:proofErr w:type="spellStart"/>
                        <w:r>
                          <w:rPr>
                            <w:color w:val="0070C0"/>
                            <w:spacing w:val="60"/>
                            <w:lang w:val="en-US"/>
                          </w:rPr>
                          <w:t>Tributarias</w:t>
                        </w:r>
                        <w:proofErr w:type="spellEnd"/>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66432" behindDoc="0" locked="0" layoutInCell="0" allowOverlap="1" wp14:anchorId="6E3A51E2" wp14:editId="4E6434C0">
              <wp:simplePos x="0" y="0"/>
              <wp:positionH relativeFrom="rightMargin">
                <wp:align>center</wp:align>
              </wp:positionH>
              <wp:positionV relativeFrom="bottomMargin">
                <wp:align>center</wp:align>
              </wp:positionV>
              <wp:extent cx="457200" cy="301752"/>
              <wp:effectExtent l="1587" t="0" r="1588" b="1587"/>
              <wp:wrapNone/>
              <wp:docPr id="224"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25"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26"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27"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66432;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S8rcYA&#10;AADcAAAADwAAAGRycy9kb3ducmV2LnhtbESPQWvCQBSE7wX/w/KEXkQ3TWmRNBsRacWLiFqkx0f2&#10;NQnNvg27G4399W5B6HGYmW+YfDGYVpzJ+caygqdZAoK4tLrhSsHn8WM6B+EDssbWMim4kodFMXrI&#10;MdP2wns6H0IlIoR9hgrqELpMSl/WZNDPbEccvW/rDIYoXSW1w0uEm1amSfIqDTYcF2rsaFVT+XPo&#10;jYL+6r/6frv+fd/t/OT47E7paTBKPY6H5RuIQEP4D9/bG60gTV/g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CS8rc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VpvrcQA&#10;AADcAAAADwAAAGRycy9kb3ducmV2LnhtbESPwWrDMBBE74X+g9hCbo1sH0Jwo4RSSDDNJXH6AYu1&#10;tUytlWopsf33UaGQ4zAzb5jNbrK9uNEQOscK8mUGgrhxuuNWwddl/7oGESKyxt4xKZgpwG77/LTB&#10;UruRz3SrYysShEOJCkyMvpQyNIYshqXzxMn7doPFmOTQSj3gmOC2l0WWraTFjtOCQU8fhpqf+moV&#10;+M99fjiOdXOdT76dfk2VH+ZKqcXL9P4GItIUH+H/dqUVFMUK/s6kIyC3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lab63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mLesYA&#10;AADcAAAADwAAAGRycy9kb3ducmV2LnhtbESPQWsCMRSE7wX/Q3hCL6VmjcXW1ShSKBQspa4e6u2x&#10;ee6ubl6WJNXtv28KhR6HmfmGWax624oL+dA41jAeZSCIS2carjTsdy/3TyBCRDbYOiYN3xRgtRzc&#10;LDA37spbuhSxEgnCIUcNdYxdLmUoa7IYRq4jTt7ReYsxSV9J4/Ga4LaVKsum0mLDaaHGjp5rKs/F&#10;l9Xw8P52MJvJ3UmxnBQbrz5w9llpfTvs13MQkfr4H/5rvxoNSj3C75l0BOTy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mLesYAAADcAAAADwAAAAAAAAAAAAAAAACYAgAAZHJz&#10;L2Rvd25yZXYueG1sUEsFBgAAAAAEAAQA9QAAAIsDAAAAAA==&#10;" adj="9730" filled="f" stroked="f" strokecolor="white"/>
              <w10:wrap anchorx="margin" anchory="margin"/>
            </v:group>
          </w:pict>
        </mc:Fallback>
      </mc:AlternateContent>
    </w:r>
  </w:p>
  <w:p w:rsidR="00240A1D" w:rsidRDefault="00240A1D">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15B4" w:rsidRDefault="007915B4">
    <w:pPr>
      <w:pStyle w:val="Piedepgina"/>
    </w:pPr>
    <w:r>
      <w:rPr>
        <w:noProof/>
        <w:lang w:val="es-EC" w:eastAsia="es-EC"/>
      </w:rPr>
      <mc:AlternateContent>
        <mc:Choice Requires="wps">
          <w:drawing>
            <wp:anchor distT="0" distB="0" distL="114300" distR="114300" simplePos="0" relativeHeight="251660288" behindDoc="0" locked="0" layoutInCell="0" allowOverlap="1" wp14:anchorId="412086B2" wp14:editId="17DC200D">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537632664"/>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7915B4" w:rsidRPr="00A75150" w:rsidRDefault="007915B4">
                              <w:pPr>
                                <w:rPr>
                                  <w:color w:val="0070C0"/>
                                  <w:spacing w:val="60"/>
                                </w:rPr>
                              </w:pPr>
                              <w:r w:rsidRPr="00A75150">
                                <w:rPr>
                                  <w:color w:val="0070C0"/>
                                  <w:spacing w:val="60"/>
                                </w:rPr>
                                <w:t>Soluciones Contables y Tributarias</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_x0000_s1029" style="position:absolute;margin-left:0;margin-top:0;width:40.25pt;height:486pt;z-index:251660288;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xkw4gIAAEM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" o:allowincell="f" filled="f" stroked="f">
              <v:textbox style="layout-flow:vertical;mso-layout-flow-alt:bottom-to-top;mso-fit-shape-to-text:t">
                <w:txbxContent>
                  <w:sdt>
                    <w:sdtPr>
                      <w:rPr>
                        <w:color w:val="0070C0"/>
                        <w:spacing w:val="60"/>
                      </w:rPr>
                      <w:alias w:val="Date"/>
                      <w:id w:val="537632664"/>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7915B4" w:rsidRPr="00A75150" w:rsidRDefault="007915B4">
                        <w:pPr>
                          <w:rPr>
                            <w:color w:val="0070C0"/>
                            <w:spacing w:val="60"/>
                          </w:rPr>
                        </w:pPr>
                        <w:r w:rsidRPr="00A75150">
                          <w:rPr>
                            <w:color w:val="0070C0"/>
                            <w:spacing w:val="60"/>
                          </w:rPr>
                          <w:t>Soluciones Contables y Tributarias</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59264" behindDoc="0" locked="0" layoutInCell="0" allowOverlap="1" wp14:anchorId="72C64DD7" wp14:editId="3CA51702">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59264;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7915B4" w:rsidRDefault="007915B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3F48" w:rsidRDefault="00953F48" w:rsidP="00FA7C89">
      <w:pPr>
        <w:spacing w:after="0" w:line="240" w:lineRule="auto"/>
      </w:pPr>
      <w:r>
        <w:separator/>
      </w:r>
    </w:p>
  </w:footnote>
  <w:footnote w:type="continuationSeparator" w:id="0">
    <w:p w:rsidR="00953F48" w:rsidRDefault="00953F48"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1050425"/>
      <w:docPartObj>
        <w:docPartGallery w:val="Page Numbers (Top of Page)"/>
        <w:docPartUnique/>
      </w:docPartObj>
    </w:sdtPr>
    <w:sdtEndPr>
      <w:rPr>
        <w:noProof/>
      </w:rPr>
    </w:sdtEndPr>
    <w:sdtContent>
      <w:p w:rsidR="00240A1D" w:rsidRDefault="00240A1D" w:rsidP="00240A1D">
        <w:pPr>
          <w:pStyle w:val="Encabezado"/>
        </w:pPr>
        <w:r w:rsidRPr="00047711">
          <w:rPr>
            <w:noProof/>
            <w:color w:val="0070C0"/>
            <w:sz w:val="28"/>
            <w:lang w:val="es-EC" w:eastAsia="es-EC"/>
          </w:rPr>
          <mc:AlternateContent>
            <mc:Choice Requires="wpg">
              <w:drawing>
                <wp:anchor distT="0" distB="0" distL="114300" distR="114300" simplePos="0" relativeHeight="251664384" behindDoc="0" locked="0" layoutInCell="0" allowOverlap="1" wp14:anchorId="12B499F5" wp14:editId="3582FCA2">
                  <wp:simplePos x="0" y="0"/>
                  <wp:positionH relativeFrom="rightMargin">
                    <wp:posOffset>-5960427</wp:posOffset>
                  </wp:positionH>
                  <wp:positionV relativeFrom="bottomMargin">
                    <wp:posOffset>-9512354</wp:posOffset>
                  </wp:positionV>
                  <wp:extent cx="457200" cy="301625"/>
                  <wp:effectExtent l="1587" t="0" r="1588" b="1587"/>
                  <wp:wrapNone/>
                  <wp:docPr id="19"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0"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1"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6"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pt;margin-top:-749pt;width:36pt;height:23.75pt;rotation:90;flip:x;z-index:251664384;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6sdcEA&#10;AADbAAAADwAAAGRycy9kb3ducmV2LnhtbERPTYvCMBC9L/gfwgheFk2tsEg1ioiKl0VWRTwOzdgW&#10;m0lJUq37681hYY+P9z1fdqYWD3K+sqxgPEpAEOdWV1woOJ+2wykIH5A11pZJwYs8LBe9jzlm2j75&#10;hx7HUIgYwj5DBWUITSalz0sy6Ee2IY7czTqDIUJXSO3wGcNNLdMk+ZIGK44NJTa0Lim/H1ujoH35&#10;a9t+7343h4P/PE3cJb10RqlBv1vNQATqwr/4z73XCtK4Pn6JP0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EOrHXBAAAA2wAAAA8AAAAAAAAAAAAAAAAAmAIAAGRycy9kb3du&#10;cmV2LnhtbFBLBQYAAAAABAAEAPUAAACG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WVpMMA&#10;AADbAAAADwAAAGRycy9kb3ducmV2LnhtbESPQWvCQBSE74L/YXlCb7qJh1Kiq0hBCe3Fpv6AR/aZ&#10;DWbfbrOrSf69Wyj0OMzMN8x2P9pOPKgPrWMF+SoDQVw73XKj4PJ9XL6BCBFZY+eYFEwUYL+bz7ZY&#10;aDfwFz2q2IgE4VCgAhOjL6QMtSGLYeU8cfKurrcYk+wbqXscEtx2cp1lr9Jiy2nBoKd3Q/WtulsF&#10;/uOYnz6Hqr5PZ9+MP6bMT1Op1MtiPGxARBrjf/ivXWoF6xx+v6QfIH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8WV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Ti+MUA&#10;AADbAAAADwAAAGRycy9kb3ducmV2LnhtbESPQWvCQBSE70L/w/IKXqTZNIq0qauUQkFQxKYe7O2R&#10;fU3SZt+G3VXjv3cFweMwM98ws0VvWnEk5xvLCp6TFARxaXXDlYLd9+fTCwgfkDW2lknBmTws5g+D&#10;GebanviLjkWoRISwz1FBHUKXS+nLmgz6xHbE0fu1zmCI0lVSOzxFuGlllqZTabDhuFBjRx81lf/F&#10;wSiYbNY/ejUe/WUsx8XKZVt83VdKDR/79zcQgfpwD9/aS60gm8L1S/wBc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1OL4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sidR="002556EF">
          <w:rPr>
            <w:noProof/>
            <w:color w:val="0070C0"/>
            <w:sz w:val="28"/>
          </w:rPr>
          <w:t>1</w:t>
        </w:r>
        <w:r w:rsidRPr="00047711">
          <w:rPr>
            <w:noProof/>
            <w:color w:val="0070C0"/>
            <w:sz w:val="28"/>
          </w:rPr>
          <w:fldChar w:fldCharType="end"/>
        </w:r>
        <w:r w:rsidRPr="00047711">
          <w:rPr>
            <w:noProof/>
            <w:color w:val="0070C0"/>
            <w:sz w:val="28"/>
          </w:rPr>
          <w:t xml:space="preserve">   </w:t>
        </w:r>
      </w:p>
    </w:sdtContent>
  </w:sdt>
  <w:p w:rsidR="00240A1D" w:rsidRDefault="00240A1D">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3021263"/>
      <w:docPartObj>
        <w:docPartGallery w:val="Page Numbers (Top of Page)"/>
        <w:docPartUnique/>
      </w:docPartObj>
    </w:sdtPr>
    <w:sdtEndPr>
      <w:rPr>
        <w:noProof/>
      </w:rPr>
    </w:sdtEndPr>
    <w:sdtContent>
      <w:p w:rsidR="007915B4" w:rsidRDefault="007915B4">
        <w:pPr>
          <w:pStyle w:val="Encabezado"/>
        </w:pPr>
        <w:r w:rsidRPr="00047711">
          <w:rPr>
            <w:noProof/>
            <w:color w:val="0070C0"/>
            <w:sz w:val="28"/>
            <w:lang w:val="es-EC" w:eastAsia="es-EC"/>
          </w:rPr>
          <mc:AlternateContent>
            <mc:Choice Requires="wpg">
              <w:drawing>
                <wp:anchor distT="0" distB="0" distL="114300" distR="114300" simplePos="0" relativeHeight="251662336" behindDoc="0" locked="0" layoutInCell="0" allowOverlap="1" wp14:anchorId="3B82F8FC" wp14:editId="2A96B144">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62336;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sidR="002556EF">
          <w:rPr>
            <w:noProof/>
            <w:color w:val="0070C0"/>
            <w:sz w:val="28"/>
          </w:rPr>
          <w:t>3</w:t>
        </w:r>
        <w:r w:rsidRPr="00047711">
          <w:rPr>
            <w:noProof/>
            <w:color w:val="0070C0"/>
            <w:sz w:val="28"/>
          </w:rPr>
          <w:fldChar w:fldCharType="end"/>
        </w:r>
        <w:r w:rsidRPr="00047711">
          <w:rPr>
            <w:noProof/>
            <w:color w:val="0070C0"/>
            <w:sz w:val="28"/>
          </w:rPr>
          <w:t xml:space="preserve">   </w:t>
        </w:r>
      </w:p>
    </w:sdtContent>
  </w:sdt>
  <w:p w:rsidR="007915B4" w:rsidRDefault="007915B4" w:rsidP="000477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9pt;height:9pt" o:bullet="t">
        <v:imagedata r:id="rId1" o:title="BD15059_"/>
      </v:shape>
    </w:pict>
  </w:numPicBullet>
  <w:abstractNum w:abstractNumId="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3A853D28"/>
    <w:multiLevelType w:val="hybridMultilevel"/>
    <w:tmpl w:val="C3B6BA7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0"/>
  </w:num>
  <w:num w:numId="4">
    <w:abstractNumId w:val="2"/>
  </w:num>
  <w:num w:numId="5">
    <w:abstractNumId w:val="4"/>
  </w:num>
  <w:num w:numId="6">
    <w:abstractNumId w:val="11"/>
  </w:num>
  <w:num w:numId="7">
    <w:abstractNumId w:val="9"/>
  </w:num>
  <w:num w:numId="8">
    <w:abstractNumId w:val="5"/>
  </w:num>
  <w:num w:numId="9">
    <w:abstractNumId w:val="14"/>
  </w:num>
  <w:num w:numId="10">
    <w:abstractNumId w:val="8"/>
  </w:num>
  <w:num w:numId="11">
    <w:abstractNumId w:val="1"/>
  </w:num>
  <w:num w:numId="12">
    <w:abstractNumId w:val="12"/>
  </w:num>
  <w:num w:numId="13">
    <w:abstractNumId w:val="3"/>
  </w:num>
  <w:num w:numId="14">
    <w:abstractNumId w:val="0"/>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47711"/>
    <w:rsid w:val="00135D5F"/>
    <w:rsid w:val="00153EF0"/>
    <w:rsid w:val="0018394A"/>
    <w:rsid w:val="001F2C25"/>
    <w:rsid w:val="00240A1D"/>
    <w:rsid w:val="00251CB5"/>
    <w:rsid w:val="002556EF"/>
    <w:rsid w:val="00275878"/>
    <w:rsid w:val="002D7DDC"/>
    <w:rsid w:val="002F4C81"/>
    <w:rsid w:val="00361F3F"/>
    <w:rsid w:val="003D737D"/>
    <w:rsid w:val="004038C7"/>
    <w:rsid w:val="00431533"/>
    <w:rsid w:val="00470703"/>
    <w:rsid w:val="00491DF5"/>
    <w:rsid w:val="004B386D"/>
    <w:rsid w:val="004C4C63"/>
    <w:rsid w:val="004E5E30"/>
    <w:rsid w:val="005850DF"/>
    <w:rsid w:val="00597ACE"/>
    <w:rsid w:val="005B5D4F"/>
    <w:rsid w:val="00634277"/>
    <w:rsid w:val="006F12D1"/>
    <w:rsid w:val="00773585"/>
    <w:rsid w:val="007915B4"/>
    <w:rsid w:val="007A674C"/>
    <w:rsid w:val="007D58A7"/>
    <w:rsid w:val="0085564E"/>
    <w:rsid w:val="008906D3"/>
    <w:rsid w:val="008A2F8B"/>
    <w:rsid w:val="00931822"/>
    <w:rsid w:val="00953F48"/>
    <w:rsid w:val="0098393D"/>
    <w:rsid w:val="00995589"/>
    <w:rsid w:val="009B4BAA"/>
    <w:rsid w:val="009B6CA7"/>
    <w:rsid w:val="00A433AE"/>
    <w:rsid w:val="00A6370C"/>
    <w:rsid w:val="00A75150"/>
    <w:rsid w:val="00A76978"/>
    <w:rsid w:val="00AD7D8C"/>
    <w:rsid w:val="00BA09F5"/>
    <w:rsid w:val="00C147D6"/>
    <w:rsid w:val="00E262EE"/>
    <w:rsid w:val="00E33BF2"/>
    <w:rsid w:val="00EC3B96"/>
    <w:rsid w:val="00EE2CFE"/>
    <w:rsid w:val="00FA7C89"/>
    <w:rsid w:val="00FC7EE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87629410">
      <w:bodyDiv w:val="1"/>
      <w:marLeft w:val="0"/>
      <w:marRight w:val="0"/>
      <w:marTop w:val="0"/>
      <w:marBottom w:val="0"/>
      <w:divBdr>
        <w:top w:val="none" w:sz="0" w:space="0" w:color="auto"/>
        <w:left w:val="none" w:sz="0" w:space="0" w:color="auto"/>
        <w:bottom w:val="none" w:sz="0" w:space="0" w:color="auto"/>
        <w:right w:val="none" w:sz="0" w:space="0" w:color="auto"/>
      </w:divBdr>
    </w:div>
    <w:div w:id="88429294">
      <w:bodyDiv w:val="1"/>
      <w:marLeft w:val="0"/>
      <w:marRight w:val="0"/>
      <w:marTop w:val="0"/>
      <w:marBottom w:val="0"/>
      <w:divBdr>
        <w:top w:val="none" w:sz="0" w:space="0" w:color="auto"/>
        <w:left w:val="none" w:sz="0" w:space="0" w:color="auto"/>
        <w:bottom w:val="none" w:sz="0" w:space="0" w:color="auto"/>
        <w:right w:val="none" w:sz="0" w:space="0" w:color="auto"/>
      </w:divBdr>
    </w:div>
    <w:div w:id="123163397">
      <w:bodyDiv w:val="1"/>
      <w:marLeft w:val="0"/>
      <w:marRight w:val="0"/>
      <w:marTop w:val="0"/>
      <w:marBottom w:val="0"/>
      <w:divBdr>
        <w:top w:val="none" w:sz="0" w:space="0" w:color="auto"/>
        <w:left w:val="none" w:sz="0" w:space="0" w:color="auto"/>
        <w:bottom w:val="none" w:sz="0" w:space="0" w:color="auto"/>
        <w:right w:val="none" w:sz="0" w:space="0" w:color="auto"/>
      </w:divBdr>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278033134">
      <w:bodyDiv w:val="1"/>
      <w:marLeft w:val="0"/>
      <w:marRight w:val="0"/>
      <w:marTop w:val="0"/>
      <w:marBottom w:val="0"/>
      <w:divBdr>
        <w:top w:val="none" w:sz="0" w:space="0" w:color="auto"/>
        <w:left w:val="none" w:sz="0" w:space="0" w:color="auto"/>
        <w:bottom w:val="none" w:sz="0" w:space="0" w:color="auto"/>
        <w:right w:val="none" w:sz="0" w:space="0" w:color="auto"/>
      </w:divBdr>
    </w:div>
    <w:div w:id="364527904">
      <w:bodyDiv w:val="1"/>
      <w:marLeft w:val="0"/>
      <w:marRight w:val="0"/>
      <w:marTop w:val="0"/>
      <w:marBottom w:val="0"/>
      <w:divBdr>
        <w:top w:val="none" w:sz="0" w:space="0" w:color="auto"/>
        <w:left w:val="none" w:sz="0" w:space="0" w:color="auto"/>
        <w:bottom w:val="none" w:sz="0" w:space="0" w:color="auto"/>
        <w:right w:val="none" w:sz="0" w:space="0" w:color="auto"/>
      </w:divBdr>
    </w:div>
    <w:div w:id="378558757">
      <w:bodyDiv w:val="1"/>
      <w:marLeft w:val="0"/>
      <w:marRight w:val="0"/>
      <w:marTop w:val="0"/>
      <w:marBottom w:val="0"/>
      <w:divBdr>
        <w:top w:val="none" w:sz="0" w:space="0" w:color="auto"/>
        <w:left w:val="none" w:sz="0" w:space="0" w:color="auto"/>
        <w:bottom w:val="none" w:sz="0" w:space="0" w:color="auto"/>
        <w:right w:val="none" w:sz="0" w:space="0" w:color="auto"/>
      </w:divBdr>
    </w:div>
    <w:div w:id="437330950">
      <w:bodyDiv w:val="1"/>
      <w:marLeft w:val="0"/>
      <w:marRight w:val="0"/>
      <w:marTop w:val="0"/>
      <w:marBottom w:val="0"/>
      <w:divBdr>
        <w:top w:val="none" w:sz="0" w:space="0" w:color="auto"/>
        <w:left w:val="none" w:sz="0" w:space="0" w:color="auto"/>
        <w:bottom w:val="none" w:sz="0" w:space="0" w:color="auto"/>
        <w:right w:val="none" w:sz="0" w:space="0" w:color="auto"/>
      </w:divBdr>
    </w:div>
    <w:div w:id="449007326">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33229779">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588781541">
      <w:bodyDiv w:val="1"/>
      <w:marLeft w:val="0"/>
      <w:marRight w:val="0"/>
      <w:marTop w:val="0"/>
      <w:marBottom w:val="0"/>
      <w:divBdr>
        <w:top w:val="none" w:sz="0" w:space="0" w:color="auto"/>
        <w:left w:val="none" w:sz="0" w:space="0" w:color="auto"/>
        <w:bottom w:val="none" w:sz="0" w:space="0" w:color="auto"/>
        <w:right w:val="none" w:sz="0" w:space="0" w:color="auto"/>
      </w:divBdr>
    </w:div>
    <w:div w:id="620115985">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27400744">
      <w:bodyDiv w:val="1"/>
      <w:marLeft w:val="0"/>
      <w:marRight w:val="0"/>
      <w:marTop w:val="0"/>
      <w:marBottom w:val="0"/>
      <w:divBdr>
        <w:top w:val="none" w:sz="0" w:space="0" w:color="auto"/>
        <w:left w:val="none" w:sz="0" w:space="0" w:color="auto"/>
        <w:bottom w:val="none" w:sz="0" w:space="0" w:color="auto"/>
        <w:right w:val="none" w:sz="0" w:space="0" w:color="auto"/>
      </w:divBdr>
    </w:div>
    <w:div w:id="678384081">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838234234">
      <w:bodyDiv w:val="1"/>
      <w:marLeft w:val="0"/>
      <w:marRight w:val="0"/>
      <w:marTop w:val="0"/>
      <w:marBottom w:val="0"/>
      <w:divBdr>
        <w:top w:val="none" w:sz="0" w:space="0" w:color="auto"/>
        <w:left w:val="none" w:sz="0" w:space="0" w:color="auto"/>
        <w:bottom w:val="none" w:sz="0" w:space="0" w:color="auto"/>
        <w:right w:val="none" w:sz="0" w:space="0" w:color="auto"/>
      </w:divBdr>
      <w:divsChild>
        <w:div w:id="1467550386">
          <w:marLeft w:val="0"/>
          <w:marRight w:val="0"/>
          <w:marTop w:val="0"/>
          <w:marBottom w:val="0"/>
          <w:divBdr>
            <w:top w:val="none" w:sz="0" w:space="0" w:color="auto"/>
            <w:left w:val="none" w:sz="0" w:space="0" w:color="auto"/>
            <w:bottom w:val="none" w:sz="0" w:space="0" w:color="auto"/>
            <w:right w:val="none" w:sz="0" w:space="0" w:color="auto"/>
          </w:divBdr>
        </w:div>
        <w:div w:id="863907164">
          <w:marLeft w:val="0"/>
          <w:marRight w:val="0"/>
          <w:marTop w:val="0"/>
          <w:marBottom w:val="0"/>
          <w:divBdr>
            <w:top w:val="none" w:sz="0" w:space="0" w:color="auto"/>
            <w:left w:val="none" w:sz="0" w:space="0" w:color="auto"/>
            <w:bottom w:val="none" w:sz="0" w:space="0" w:color="auto"/>
            <w:right w:val="none" w:sz="0" w:space="0" w:color="auto"/>
          </w:divBdr>
        </w:div>
      </w:divsChild>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974873458">
      <w:bodyDiv w:val="1"/>
      <w:marLeft w:val="0"/>
      <w:marRight w:val="0"/>
      <w:marTop w:val="0"/>
      <w:marBottom w:val="0"/>
      <w:divBdr>
        <w:top w:val="none" w:sz="0" w:space="0" w:color="auto"/>
        <w:left w:val="none" w:sz="0" w:space="0" w:color="auto"/>
        <w:bottom w:val="none" w:sz="0" w:space="0" w:color="auto"/>
        <w:right w:val="none" w:sz="0" w:space="0" w:color="auto"/>
      </w:divBdr>
    </w:div>
    <w:div w:id="1013150449">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055588820">
      <w:bodyDiv w:val="1"/>
      <w:marLeft w:val="0"/>
      <w:marRight w:val="0"/>
      <w:marTop w:val="0"/>
      <w:marBottom w:val="0"/>
      <w:divBdr>
        <w:top w:val="none" w:sz="0" w:space="0" w:color="auto"/>
        <w:left w:val="none" w:sz="0" w:space="0" w:color="auto"/>
        <w:bottom w:val="none" w:sz="0" w:space="0" w:color="auto"/>
        <w:right w:val="none" w:sz="0" w:space="0" w:color="auto"/>
      </w:divBdr>
    </w:div>
    <w:div w:id="1130320129">
      <w:bodyDiv w:val="1"/>
      <w:marLeft w:val="0"/>
      <w:marRight w:val="0"/>
      <w:marTop w:val="0"/>
      <w:marBottom w:val="0"/>
      <w:divBdr>
        <w:top w:val="none" w:sz="0" w:space="0" w:color="auto"/>
        <w:left w:val="none" w:sz="0" w:space="0" w:color="auto"/>
        <w:bottom w:val="none" w:sz="0" w:space="0" w:color="auto"/>
        <w:right w:val="none" w:sz="0" w:space="0" w:color="auto"/>
      </w:divBdr>
    </w:div>
    <w:div w:id="1171405281">
      <w:bodyDiv w:val="1"/>
      <w:marLeft w:val="0"/>
      <w:marRight w:val="0"/>
      <w:marTop w:val="0"/>
      <w:marBottom w:val="0"/>
      <w:divBdr>
        <w:top w:val="none" w:sz="0" w:space="0" w:color="auto"/>
        <w:left w:val="none" w:sz="0" w:space="0" w:color="auto"/>
        <w:bottom w:val="none" w:sz="0" w:space="0" w:color="auto"/>
        <w:right w:val="none" w:sz="0" w:space="0" w:color="auto"/>
      </w:divBdr>
    </w:div>
    <w:div w:id="1182933435">
      <w:bodyDiv w:val="1"/>
      <w:marLeft w:val="0"/>
      <w:marRight w:val="0"/>
      <w:marTop w:val="0"/>
      <w:marBottom w:val="0"/>
      <w:divBdr>
        <w:top w:val="none" w:sz="0" w:space="0" w:color="auto"/>
        <w:left w:val="none" w:sz="0" w:space="0" w:color="auto"/>
        <w:bottom w:val="none" w:sz="0" w:space="0" w:color="auto"/>
        <w:right w:val="none" w:sz="0" w:space="0" w:color="auto"/>
      </w:divBdr>
    </w:div>
    <w:div w:id="1194347006">
      <w:bodyDiv w:val="1"/>
      <w:marLeft w:val="0"/>
      <w:marRight w:val="0"/>
      <w:marTop w:val="0"/>
      <w:marBottom w:val="0"/>
      <w:divBdr>
        <w:top w:val="none" w:sz="0" w:space="0" w:color="auto"/>
        <w:left w:val="none" w:sz="0" w:space="0" w:color="auto"/>
        <w:bottom w:val="none" w:sz="0" w:space="0" w:color="auto"/>
        <w:right w:val="none" w:sz="0" w:space="0" w:color="auto"/>
      </w:divBdr>
    </w:div>
    <w:div w:id="1199244224">
      <w:bodyDiv w:val="1"/>
      <w:marLeft w:val="0"/>
      <w:marRight w:val="0"/>
      <w:marTop w:val="0"/>
      <w:marBottom w:val="0"/>
      <w:divBdr>
        <w:top w:val="none" w:sz="0" w:space="0" w:color="auto"/>
        <w:left w:val="none" w:sz="0" w:space="0" w:color="auto"/>
        <w:bottom w:val="none" w:sz="0" w:space="0" w:color="auto"/>
        <w:right w:val="none" w:sz="0" w:space="0" w:color="auto"/>
      </w:divBdr>
    </w:div>
    <w:div w:id="1282035389">
      <w:bodyDiv w:val="1"/>
      <w:marLeft w:val="0"/>
      <w:marRight w:val="0"/>
      <w:marTop w:val="0"/>
      <w:marBottom w:val="0"/>
      <w:divBdr>
        <w:top w:val="none" w:sz="0" w:space="0" w:color="auto"/>
        <w:left w:val="none" w:sz="0" w:space="0" w:color="auto"/>
        <w:bottom w:val="none" w:sz="0" w:space="0" w:color="auto"/>
        <w:right w:val="none" w:sz="0" w:space="0" w:color="auto"/>
      </w:divBdr>
    </w:div>
    <w:div w:id="1479221634">
      <w:bodyDiv w:val="1"/>
      <w:marLeft w:val="0"/>
      <w:marRight w:val="0"/>
      <w:marTop w:val="0"/>
      <w:marBottom w:val="0"/>
      <w:divBdr>
        <w:top w:val="none" w:sz="0" w:space="0" w:color="auto"/>
        <w:left w:val="none" w:sz="0" w:space="0" w:color="auto"/>
        <w:bottom w:val="none" w:sz="0" w:space="0" w:color="auto"/>
        <w:right w:val="none" w:sz="0" w:space="0" w:color="auto"/>
      </w:divBdr>
      <w:divsChild>
        <w:div w:id="590891519">
          <w:marLeft w:val="0"/>
          <w:marRight w:val="0"/>
          <w:marTop w:val="0"/>
          <w:marBottom w:val="0"/>
          <w:divBdr>
            <w:top w:val="none" w:sz="0" w:space="0" w:color="auto"/>
            <w:left w:val="none" w:sz="0" w:space="0" w:color="auto"/>
            <w:bottom w:val="none" w:sz="0" w:space="0" w:color="auto"/>
            <w:right w:val="none" w:sz="0" w:space="0" w:color="auto"/>
          </w:divBdr>
        </w:div>
      </w:divsChild>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18540496">
      <w:bodyDiv w:val="1"/>
      <w:marLeft w:val="0"/>
      <w:marRight w:val="0"/>
      <w:marTop w:val="0"/>
      <w:marBottom w:val="0"/>
      <w:divBdr>
        <w:top w:val="none" w:sz="0" w:space="0" w:color="auto"/>
        <w:left w:val="none" w:sz="0" w:space="0" w:color="auto"/>
        <w:bottom w:val="none" w:sz="0" w:space="0" w:color="auto"/>
        <w:right w:val="none" w:sz="0" w:space="0" w:color="auto"/>
      </w:divBdr>
    </w:div>
    <w:div w:id="1527330343">
      <w:bodyDiv w:val="1"/>
      <w:marLeft w:val="0"/>
      <w:marRight w:val="0"/>
      <w:marTop w:val="0"/>
      <w:marBottom w:val="0"/>
      <w:divBdr>
        <w:top w:val="none" w:sz="0" w:space="0" w:color="auto"/>
        <w:left w:val="none" w:sz="0" w:space="0" w:color="auto"/>
        <w:bottom w:val="none" w:sz="0" w:space="0" w:color="auto"/>
        <w:right w:val="none" w:sz="0" w:space="0" w:color="auto"/>
      </w:divBdr>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598758234">
      <w:bodyDiv w:val="1"/>
      <w:marLeft w:val="0"/>
      <w:marRight w:val="0"/>
      <w:marTop w:val="0"/>
      <w:marBottom w:val="0"/>
      <w:divBdr>
        <w:top w:val="none" w:sz="0" w:space="0" w:color="auto"/>
        <w:left w:val="none" w:sz="0" w:space="0" w:color="auto"/>
        <w:bottom w:val="none" w:sz="0" w:space="0" w:color="auto"/>
        <w:right w:val="none" w:sz="0" w:space="0" w:color="auto"/>
      </w:divBdr>
    </w:div>
    <w:div w:id="1616054677">
      <w:bodyDiv w:val="1"/>
      <w:marLeft w:val="0"/>
      <w:marRight w:val="0"/>
      <w:marTop w:val="0"/>
      <w:marBottom w:val="0"/>
      <w:divBdr>
        <w:top w:val="none" w:sz="0" w:space="0" w:color="auto"/>
        <w:left w:val="none" w:sz="0" w:space="0" w:color="auto"/>
        <w:bottom w:val="none" w:sz="0" w:space="0" w:color="auto"/>
        <w:right w:val="none" w:sz="0" w:space="0" w:color="auto"/>
      </w:divBdr>
    </w:div>
    <w:div w:id="1637252043">
      <w:bodyDiv w:val="1"/>
      <w:marLeft w:val="0"/>
      <w:marRight w:val="0"/>
      <w:marTop w:val="0"/>
      <w:marBottom w:val="0"/>
      <w:divBdr>
        <w:top w:val="none" w:sz="0" w:space="0" w:color="auto"/>
        <w:left w:val="none" w:sz="0" w:space="0" w:color="auto"/>
        <w:bottom w:val="none" w:sz="0" w:space="0" w:color="auto"/>
        <w:right w:val="none" w:sz="0" w:space="0" w:color="auto"/>
      </w:divBdr>
    </w:div>
    <w:div w:id="1702241136">
      <w:bodyDiv w:val="1"/>
      <w:marLeft w:val="0"/>
      <w:marRight w:val="0"/>
      <w:marTop w:val="0"/>
      <w:marBottom w:val="0"/>
      <w:divBdr>
        <w:top w:val="none" w:sz="0" w:space="0" w:color="auto"/>
        <w:left w:val="none" w:sz="0" w:space="0" w:color="auto"/>
        <w:bottom w:val="none" w:sz="0" w:space="0" w:color="auto"/>
        <w:right w:val="none" w:sz="0" w:space="0" w:color="auto"/>
      </w:divBdr>
    </w:div>
    <w:div w:id="1787196911">
      <w:bodyDiv w:val="1"/>
      <w:marLeft w:val="0"/>
      <w:marRight w:val="0"/>
      <w:marTop w:val="0"/>
      <w:marBottom w:val="0"/>
      <w:divBdr>
        <w:top w:val="none" w:sz="0" w:space="0" w:color="auto"/>
        <w:left w:val="none" w:sz="0" w:space="0" w:color="auto"/>
        <w:bottom w:val="none" w:sz="0" w:space="0" w:color="auto"/>
        <w:right w:val="none" w:sz="0" w:space="0" w:color="auto"/>
      </w:divBdr>
    </w:div>
    <w:div w:id="1856536104">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 w:id="211367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javascript:Vincular('881162')"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fielweb.com/Buscador/ContenidoNorma.aspx?423&amp;Id=1086377&amp;T=&amp;Opcion=&amp;IrAcceso=" TargetMode="External"/><Relationship Id="rId20" Type="http://schemas.openxmlformats.org/officeDocument/2006/relationships/hyperlink" Target="javascript:Vincular('88115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5" Type="http://schemas.microsoft.com/office/2007/relationships/stylesWithEffects" Target="stylesWithEffects.xml"/><Relationship Id="rId15" Type="http://schemas.openxmlformats.org/officeDocument/2006/relationships/image" Target="media/image4.jpeg"/><Relationship Id="rId10" Type="http://schemas.openxmlformats.org/officeDocument/2006/relationships/image" Target="media/image2.jpeg"/><Relationship Id="rId19" Type="http://schemas.openxmlformats.org/officeDocument/2006/relationships/hyperlink" Target="javascript:Vincular('881156')"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Soluciones Contables y Tributarias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011E26-07C6-438B-8E2C-E9D921A58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2715</Words>
  <Characters>14934</Characters>
  <Application>Microsoft Office Word</Application>
  <DocSecurity>0</DocSecurity>
  <Lines>124</Lines>
  <Paragraphs>35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cp:lastPrinted>2016-03-03T16:30:00Z</cp:lastPrinted>
  <dcterms:created xsi:type="dcterms:W3CDTF">2016-03-21T16:25:00Z</dcterms:created>
  <dcterms:modified xsi:type="dcterms:W3CDTF">2016-03-21T16:25:00Z</dcterms:modified>
</cp:coreProperties>
</file>